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46" w:lineRule="exact"/>
        <w:rPr>
          <w:sz w:val="24"/>
          <w:szCs w:val="24"/>
          <w:color w:val="auto"/>
        </w:rPr>
      </w:pPr>
    </w:p>
    <w:p>
      <w:pPr>
        <w:ind w:left="4240" w:right="4140" w:hanging="4235"/>
        <w:spacing w:after="0" w:line="347" w:lineRule="auto"/>
        <w:tabs>
          <w:tab w:leader="none" w:pos="2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5"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5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Commission File Number: 001-34949</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24"/>
                <w:szCs w:val="24"/>
                <w:b w:val="1"/>
                <w:bCs w:val="1"/>
                <w:color w:val="auto"/>
              </w:rPr>
              <w:t>Arbutus Biopharma Corporation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40" w:type="dxa"/>
            <w:vAlign w:val="bottom"/>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98-0597776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jc w:val="center"/>
              <w:ind w:left="70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80" w:type="dxa"/>
            <w:vAlign w:val="bottom"/>
            <w:gridSpan w:val="2"/>
            <w:vMerge w:val="restart"/>
          </w:tcPr>
          <w:p>
            <w:pPr>
              <w:jc w:val="center"/>
              <w:ind w:left="725"/>
              <w:spacing w:after="0"/>
              <w:rPr>
                <w:sz w:val="20"/>
                <w:szCs w:val="20"/>
                <w:color w:val="auto"/>
              </w:rPr>
            </w:pPr>
            <w:r>
              <w:rPr>
                <w:rFonts w:ascii="Times New Roman" w:cs="Times New Roman" w:eastAsia="Times New Roman" w:hAnsi="Times New Roman"/>
                <w:sz w:val="14"/>
                <w:szCs w:val="14"/>
                <w:color w:val="auto"/>
                <w:w w:val="98"/>
              </w:rPr>
              <w:t>701 Veterans Circle</w:t>
            </w:r>
          </w:p>
        </w:tc>
        <w:tc>
          <w:tcPr>
            <w:tcW w:w="454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jc w:val="center"/>
              <w:ind w:left="725"/>
              <w:spacing w:after="0"/>
              <w:rPr>
                <w:sz w:val="20"/>
                <w:szCs w:val="20"/>
                <w:color w:val="auto"/>
              </w:rPr>
            </w:pPr>
            <w:r>
              <w:rPr>
                <w:rFonts w:ascii="Times New Roman" w:cs="Times New Roman" w:eastAsia="Times New Roman" w:hAnsi="Times New Roman"/>
                <w:sz w:val="14"/>
                <w:szCs w:val="14"/>
                <w:color w:val="auto"/>
                <w:w w:val="99"/>
              </w:rPr>
              <w:t>Warminster</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jc w:val="center"/>
              <w:ind w:left="725"/>
              <w:spacing w:after="0"/>
              <w:rPr>
                <w:sz w:val="20"/>
                <w:szCs w:val="20"/>
                <w:color w:val="auto"/>
              </w:rPr>
            </w:pPr>
            <w:r>
              <w:rPr>
                <w:rFonts w:ascii="Times New Roman" w:cs="Times New Roman" w:eastAsia="Times New Roman" w:hAnsi="Times New Roman"/>
                <w:sz w:val="14"/>
                <w:szCs w:val="14"/>
                <w:color w:val="auto"/>
              </w:rPr>
              <w:t>PA</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w w:val="97"/>
              </w:rPr>
              <w:t>18974</w:t>
            </w:r>
          </w:p>
        </w:tc>
        <w:tc>
          <w:tcPr>
            <w:tcW w:w="1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jc w:val="center"/>
              <w:ind w:left="805"/>
              <w:spacing w:after="0"/>
              <w:rPr>
                <w:sz w:val="20"/>
                <w:szCs w:val="20"/>
                <w:color w:val="auto"/>
              </w:rPr>
            </w:pPr>
            <w:r>
              <w:rPr>
                <w:rFonts w:ascii="Times New Roman" w:cs="Times New Roman" w:eastAsia="Times New Roman" w:hAnsi="Times New Roman"/>
                <w:sz w:val="14"/>
                <w:szCs w:val="14"/>
                <w:color w:val="auto"/>
              </w:rPr>
              <w:t>267-469-0914</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20" w:type="dxa"/>
            <w:vAlign w:val="bottom"/>
            <w:gridSpan w:val="3"/>
          </w:tcPr>
          <w:p>
            <w:pPr>
              <w:jc w:val="center"/>
              <w:ind w:right="36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12"/>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80" w:type="dxa"/>
            <w:vAlign w:val="bottom"/>
          </w:tcPr>
          <w:p>
            <w:pPr>
              <w:spacing w:after="0"/>
              <w:rPr>
                <w:sz w:val="14"/>
                <w:szCs w:val="14"/>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ABUS</w:t>
            </w:r>
          </w:p>
        </w:tc>
        <w:tc>
          <w:tcPr>
            <w:tcW w:w="100" w:type="dxa"/>
            <w:vAlign w:val="bottom"/>
          </w:tcPr>
          <w:p>
            <w:pPr>
              <w:spacing w:after="0"/>
              <w:rPr>
                <w:sz w:val="14"/>
                <w:szCs w:val="14"/>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3720"/>
        <w:spacing w:after="0" w:line="379"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228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Non-accelerated filer</w:t>
            </w:r>
          </w:p>
        </w:tc>
        <w:tc>
          <w:tcPr>
            <w:tcW w:w="23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319"/>
        </w:trPr>
        <w:tc>
          <w:tcPr>
            <w:tcW w:w="2280" w:type="dxa"/>
            <w:vAlign w:val="bottom"/>
          </w:tcPr>
          <w:p>
            <w:pPr>
              <w:jc w:val="center"/>
              <w:ind w:right="49"/>
              <w:spacing w:after="0" w:line="141" w:lineRule="exact"/>
              <w:rPr>
                <w:sz w:val="20"/>
                <w:szCs w:val="20"/>
                <w:color w:val="auto"/>
              </w:rPr>
            </w:pPr>
            <w:r>
              <w:rPr>
                <w:rFonts w:ascii="MS PGothic" w:cs="MS PGothic" w:eastAsia="MS PGothic" w:hAnsi="MS PGothic"/>
                <w:sz w:val="14"/>
                <w:szCs w:val="14"/>
                <w:color w:val="auto"/>
                <w:w w:val="85"/>
              </w:rPr>
              <w:t>☐</w:t>
            </w:r>
          </w:p>
        </w:tc>
        <w:tc>
          <w:tcPr>
            <w:tcW w:w="2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8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2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775"/>
        </w:trPr>
        <w:tc>
          <w:tcPr>
            <w:tcW w:w="2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1" w:name="page2"/>
    <w:bookmarkEnd w:id="1"/>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88" w:lineRule="exact"/>
        <w:rPr>
          <w:sz w:val="20"/>
          <w:szCs w:val="20"/>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6"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8"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approximate aggregate market value of voting and non-voting common equity held by non-affiliates of the registrant was $454,399,613 (based on the closing price of $3.09 per share as reported on the Nasdaq Global Select Market as of that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25, 2025, the registrant had 191,480,188 common shares, without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Shareholders, which the registrant intends to file pursuant to Regulation 14A with the Securities and Exchange Commission no later than 120 days after the registrant’s fiscal year ended December 31, 2024,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8"/>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0"/>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gridSpan w:val="7"/>
          </w:tcPr>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0"/>
        </w:trPr>
        <w:tc>
          <w:tcPr>
            <w:tcW w:w="31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w w:val="98"/>
              </w:rPr>
              <w:t>Cautionary Note Regarding Forward-looking Statements</w:t>
            </w:r>
          </w:p>
        </w:tc>
        <w:tc>
          <w:tcPr>
            <w:tcW w:w="7480" w:type="dxa"/>
            <w:vAlign w:val="bottom"/>
            <w:gridSpan w:val="11"/>
          </w:tcPr>
          <w:p>
            <w:pPr>
              <w:spacing w:after="0"/>
              <w:rPr>
                <w:sz w:val="13"/>
                <w:szCs w:val="13"/>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4</w:t>
            </w:r>
          </w:p>
        </w:tc>
        <w:tc>
          <w:tcPr>
            <w:tcW w:w="8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13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9"/>
              </w:rPr>
              <w:t>Risk Factors Summary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6</w:t>
            </w:r>
          </w:p>
        </w:tc>
        <w:tc>
          <w:tcPr>
            <w:tcW w:w="8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3"/>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PART 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8</w:t>
            </w:r>
          </w:p>
        </w:tc>
        <w:tc>
          <w:tcPr>
            <w:tcW w:w="8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Business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8</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1A.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Risk Factors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34</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0"/>
              </w:rPr>
              <w:t>1B.</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57</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1C.</w:t>
            </w: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Cybersecurity</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57</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Properties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58</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Legal Proceedings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58</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61</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1"/>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PART II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62</w:t>
            </w:r>
          </w:p>
        </w:tc>
        <w:tc>
          <w:tcPr>
            <w:tcW w:w="8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62</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Reserved</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62</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63</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7A.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73</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74</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102</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9A.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102</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0"/>
              </w:rPr>
              <w:t>9B.</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Other Information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103</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9C.</w:t>
            </w: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104</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341"/>
        </w:trPr>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3"/>
              </w:rPr>
              <w:t>PART III</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105</w:t>
            </w:r>
          </w:p>
        </w:tc>
        <w:tc>
          <w:tcPr>
            <w:tcW w:w="80" w:type="dxa"/>
            <w:vAlign w:val="bottom"/>
          </w:tcPr>
          <w:p>
            <w:pPr>
              <w:spacing w:after="0"/>
              <w:rPr>
                <w:sz w:val="24"/>
                <w:szCs w:val="24"/>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105</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Executive Compensation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105</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105</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105</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105</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341"/>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6"/>
              </w:rPr>
              <w:t>PART IV</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106</w:t>
            </w:r>
          </w:p>
        </w:tc>
      </w:tr>
      <w:tr>
        <w:trPr>
          <w:trHeight w:val="160"/>
        </w:trPr>
        <w:tc>
          <w:tcPr>
            <w:tcW w:w="2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Item</w:t>
            </w:r>
          </w:p>
        </w:tc>
        <w:tc>
          <w:tcPr>
            <w:tcW w:w="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2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106</w:t>
            </w:r>
          </w:p>
        </w:tc>
        <w:tc>
          <w:tcPr>
            <w:tcW w:w="8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Form 10-K Summary</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109</w:t>
            </w: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20" w:top="1184"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Note Regarding Forward-looking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Annual Report on Form 10-K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182"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our strategy, future operations, preclinical studies, clinical trials, and prospects;</w:t>
      </w:r>
    </w:p>
    <w:p>
      <w:pPr>
        <w:spacing w:after="0" w:line="1" w:lineRule="exact"/>
        <w:rPr>
          <w:rFonts w:ascii="Arial" w:cs="Arial" w:eastAsia="Arial" w:hAnsi="Arial"/>
          <w:sz w:val="17"/>
          <w:szCs w:val="17"/>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plans and expectations regarding our patent infringement lawsuits against Moderna and Pfizer/BioNTech;</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plans of our new management team and Board of Directors with respect to the review of our pipeline and development plans for our hepatitis B programs;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our product candidates to achieve their desired or anticipated outcomes;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cost, timing and results of our clinical development plans and clinical trials, including our clinical collaborations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commercialization of a curative combination regimen for chronic hepatitis B infection, a disease of the liver caused by the hepatitis B virus;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our product candidates to improve upon the standard of care and contribute to a functional curative combination treatment regimen;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necessary regulatory approvals;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adequate financing through a combination of financing activities and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returns and benefits from strategic alliances, licensing agreements, and development collaborations with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technology licensed to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revenue and expense fluctuation and guidance;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announcing data from our ongoing clinical trials;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net cash burn; and</w:t>
      </w:r>
    </w:p>
    <w:p>
      <w:pPr>
        <w:spacing w:after="0" w:line="7" w:lineRule="exact"/>
        <w:rPr>
          <w:rFonts w:ascii="Times New Roman" w:cs="Times New Roman" w:eastAsia="Times New Roman" w:hAnsi="Times New Roman"/>
          <w:sz w:val="14"/>
          <w:szCs w:val="14"/>
          <w:color w:val="auto"/>
        </w:rPr>
      </w:pPr>
    </w:p>
    <w:p>
      <w:pPr>
        <w:ind w:left="500" w:hanging="240"/>
        <w:spacing w:after="0" w:line="235"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our expectation for how long we can fund our operations with our existing cash resources,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7-Quantitative and Qualitative Disclosures About Market Risk,” and “Item 8-Financial Statements and Supplementary Data.”</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cautionary statements are intended to qualify all forward-looking statements wherever they may appear in this Form 10-K, including any documents incorporated by reference therein.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all forward-looking statements, we claim protection of the safe harbor contained in the Private Securities Litigation Reform Act of 1995.</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Form 10-K also contains estimates, projections and other information concerning our industry, our business, the markets for certain diseases, including data regarding the estimated size of those markets, and the incidence and prevalence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 w:name="page6"/>
    <w:bookmarkEnd w:id="5"/>
    <w:p>
      <w:pPr>
        <w:jc w:val="both"/>
        <w:spacing w:after="0" w:line="270" w:lineRule="auto"/>
        <w:rPr>
          <w:sz w:val="20"/>
          <w:szCs w:val="20"/>
          <w:color w:val="auto"/>
        </w:rPr>
      </w:pPr>
      <w:r>
        <w:rPr>
          <w:rFonts w:ascii="Times New Roman" w:cs="Times New Roman" w:eastAsia="Times New Roman" w:hAnsi="Times New Roman"/>
          <w:sz w:val="14"/>
          <w:szCs w:val="14"/>
          <w:color w:val="auto"/>
        </w:rPr>
        <w:t>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Summary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operations and financial results. For more information, see “Item 1A. Risk Factors” in this Annual Report on Form 10-K for the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Our Financial Results and Need for Additional Capital</w:t>
      </w:r>
    </w:p>
    <w:p>
      <w:pPr>
        <w:spacing w:after="0" w:line="25" w:lineRule="exact"/>
        <w:rPr>
          <w:sz w:val="20"/>
          <w:szCs w:val="20"/>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are involved in multiple patent infringement lawsuits in multiple jurisdictions to protect and assert our intellectual property rights against large, well-capitalized companies, which requires that we continue to expend substantial resources, and we may not be successful in these proceedings.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early stages of our development, and there is a limited amount of information about us upon which you can evaluate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require substantial additional capital to fund our operations. Additional funds may be dilutive to shareholders or impose operational restrictions. Further, if additional capital is not available, we may need to delay, limit or eliminate our development and commercialization programs and modify our business strategy.</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in nearly every year since our inception and we anticipate that we will not achieve profits for the foreseeable future. To date, we have had no product revenues.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Regulatory Approval, Marketing, and Coverage and Reimbursement of our Product Candidates</w:t>
      </w:r>
    </w:p>
    <w:p>
      <w:pPr>
        <w:spacing w:after="0" w:line="25" w:lineRule="exact"/>
        <w:rPr>
          <w:sz w:val="20"/>
          <w:szCs w:val="20"/>
          <w:color w:val="auto"/>
        </w:rPr>
      </w:pPr>
    </w:p>
    <w:p>
      <w:pPr>
        <w:ind w:left="520" w:hanging="260"/>
        <w:spacing w:after="0" w:line="251" w:lineRule="auto"/>
        <w:tabs>
          <w:tab w:leader="none" w:pos="511"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4"/>
          <w:szCs w:val="14"/>
          <w:color w:val="auto"/>
        </w:rPr>
        <w:t>Our product candidates are in early stages of development and must go through clinical trials, which are very expensive, time-consuming and difficult to design and implement. The outcomes of clinical trials are uncertain.</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studies and preliminary and interim data from clinical trials of our product candidates are not necessarily predictive of the results or success of ongoing or later clinical trials of our product candidates.</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have limited resources, we may decide to pursue a particular product candidate and fail to advance product candidates that later demonstrate a greater chance of clinical and commercial success.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Several of our current clinical trials are being conducted outside the United States, and the FDA may not accept data from trials conducted in locations outside the United States.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guarantee how long it will take regulatory agencies to review our applications for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including due to a reduction in the FDA’s workforce and/or inadequate funding for the FDA, could prevent the FDA from performing normal functions on which our business relies, which could negatively impact our business.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particular product candidate causes undesirable side effects, then we may be unable to receive regulatory approval of or commercialize such product candidate.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find it difficult to enroll patients in our clinical trials, which could hinder such clinical trials.</w:t>
      </w:r>
    </w:p>
    <w:p>
      <w:pPr>
        <w:spacing w:after="0" w:line="8" w:lineRule="exact"/>
        <w:rPr>
          <w:rFonts w:ascii="Times New Roman" w:cs="Times New Roman" w:eastAsia="Times New Roman" w:hAnsi="Times New Roman"/>
          <w:sz w:val="14"/>
          <w:szCs w:val="14"/>
          <w:color w:val="auto"/>
        </w:rPr>
      </w:pPr>
    </w:p>
    <w:p>
      <w:pPr>
        <w:ind w:left="520" w:hanging="260"/>
        <w:spacing w:after="0" w:line="24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ind w:left="520" w:hanging="260"/>
        <w:spacing w:after="0"/>
        <w:tabs>
          <w:tab w:leader="none" w:pos="520" w:val="left"/>
        </w:tabs>
        <w:numPr>
          <w:ilvl w:val="0"/>
          <w:numId w:val="5"/>
        </w:numPr>
        <w:rPr>
          <w:rFonts w:ascii="Arial" w:cs="Arial" w:eastAsia="Arial" w:hAnsi="Arial"/>
          <w:sz w:val="15"/>
          <w:szCs w:val="15"/>
          <w:color w:val="auto"/>
        </w:rPr>
      </w:pPr>
      <w:r>
        <w:rPr>
          <w:rFonts w:ascii="Times New Roman" w:cs="Times New Roman" w:eastAsia="Times New Roman" w:hAnsi="Times New Roman"/>
          <w:sz w:val="14"/>
          <w:szCs w:val="14"/>
          <w:color w:val="auto"/>
        </w:rPr>
        <w:t>Current and planned clinical trials may be impacted as a result of the military action by Russia in Ukraine.</w:t>
      </w:r>
    </w:p>
    <w:p>
      <w:pPr>
        <w:spacing w:after="0" w:line="9" w:lineRule="exact"/>
        <w:rPr>
          <w:rFonts w:ascii="Arial" w:cs="Arial" w:eastAsia="Arial" w:hAnsi="Arial"/>
          <w:sz w:val="15"/>
          <w:szCs w:val="15"/>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Even if our product candidates obtain regulatory approval, they will remain subject to ongoing regulatory requirements.</w:t>
      </w:r>
    </w:p>
    <w:p>
      <w:pPr>
        <w:spacing w:after="0" w:line="7"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from other biotechnology and pharmaceutical companies targeting HBV.</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largely dependent on the future commercial success of our HBV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substantial liabilities and may be required to limit commercialization of our products in response to product liability lawsuits.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Coverage and adequate reimbursement may not be available for our product candidates, which could make it difficult for us to sell our products profitably.</w:t>
      </w:r>
    </w:p>
    <w:p>
      <w:pPr>
        <w:spacing w:after="0" w:line="8"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Times New Roman" w:cs="Times New Roman" w:eastAsia="Times New Roman" w:hAnsi="Times New Roman"/>
          <w:sz w:val="14"/>
          <w:szCs w:val="14"/>
          <w:color w:val="auto"/>
        </w:rPr>
        <w:t>We are subject to United States and Canadian healthcare laws and regulations, which could expose us to criminal sanctions, civil penalties, contractual damages and reputational harm.</w:t>
      </w:r>
    </w:p>
    <w:p>
      <w:pPr>
        <w:spacing w:after="0" w:line="32" w:lineRule="exact"/>
        <w:rPr>
          <w:rFonts w:ascii="Calibri" w:cs="Calibri" w:eastAsia="Calibri" w:hAnsi="Calibri"/>
          <w:sz w:val="13"/>
          <w:szCs w:val="13"/>
          <w:color w:val="auto"/>
        </w:rPr>
      </w:pPr>
    </w:p>
    <w:p>
      <w:pPr>
        <w:ind w:left="520" w:hanging="260"/>
        <w:spacing w:after="0" w:line="238" w:lineRule="auto"/>
        <w:tabs>
          <w:tab w:leader="none" w:pos="5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If we participate in the Medicaid Drug Rebate Program and other governmental pricing programs, failure to comply with obligations under these programs could result in additional reimbursement requirements, penalties, sanctions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4"/>
          <w:szCs w:val="14"/>
          <w:color w:val="auto"/>
        </w:rPr>
        <w:t>fines, which could have a material adverse effect on our business, financial condition, results of operations and growth prospects.</w:t>
      </w:r>
    </w:p>
    <w:p>
      <w:pPr>
        <w:spacing w:after="0" w:line="23"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United States Foreign Corrupt Practices Act, and potentially other similar global laws could subject us to penalties and other adverse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license agreement with Alnylam Pharmaceuticals, Inc. for the commercialization of ONPATTRO™ (Patisiran).</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Qilu Pharmaceutical Co., Ltd. for the development and commercialization of imdusiran in China, Hong Kong, Macau and Taiwan.</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If conflicts arise between our collaboration or licensing partners and us, our collaboration or licensing partners may act in their best interest and not in our best interest, which could adversely affect our business.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conduct our clinical trials, and if they fail to fulfill their obligations, our development plans may be adversely affected.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exclusively on third parties to formulate and manufacture our product candidates, which exposes us to risks that may delay or hinder development, regulatory approval and commercialization of our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entities may assert patent rights that prevent us from developing or commercializing our products.</w:t>
      </w:r>
    </w:p>
    <w:p>
      <w:pPr>
        <w:spacing w:after="0" w:line="7" w:lineRule="exact"/>
        <w:rPr>
          <w:rFonts w:ascii="Times New Roman" w:cs="Times New Roman" w:eastAsia="Times New Roman" w:hAnsi="Times New Roman"/>
          <w:sz w:val="14"/>
          <w:szCs w:val="14"/>
          <w:color w:val="auto"/>
        </w:rPr>
      </w:pPr>
    </w:p>
    <w:p>
      <w:pPr>
        <w:ind w:left="500" w:hanging="240"/>
        <w:spacing w:after="0" w:line="234" w:lineRule="auto"/>
        <w:tabs>
          <w:tab w:leader="none" w:pos="50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color w:val="auto"/>
        </w:rPr>
        <w:t>Certain of our patents and patent applications have been challenged and found to be invalid, and additional challenges may occur in the future, which could adversely affect our business.</w:t>
      </w:r>
    </w:p>
    <w:p>
      <w:pPr>
        <w:spacing w:after="0" w:line="2" w:lineRule="exact"/>
        <w:rPr>
          <w:rFonts w:ascii="Arial" w:cs="Arial" w:eastAsia="Arial" w:hAnsi="Arial"/>
          <w:sz w:val="17"/>
          <w:szCs w:val="17"/>
          <w:color w:val="auto"/>
        </w:rPr>
      </w:pPr>
    </w:p>
    <w:p>
      <w:pPr>
        <w:jc w:val="both"/>
        <w:ind w:left="520" w:hanging="260"/>
        <w:spacing w:after="0" w:line="23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and may in the future continue to incur, substantial costs as a result of litigation or other proceedings relating to patent and other intellectual property rights, and we may not be successful in one or more of these lawsuits or proceedings, any of which could have a material adverse effect on our business, financial condition and results of operations and could cause the market value of our common shares to decline.</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Confidentiality agreements with employees and others, including collaborators, may not adequately prevent disclosure of trade secrets and other proprietary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Common Shares</w:t>
      </w:r>
    </w:p>
    <w:p>
      <w:pPr>
        <w:spacing w:after="0" w:line="25"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common share ownership will likely limit the ability of the other shareholders to influence corporate matters.</w:t>
      </w:r>
    </w:p>
    <w:p>
      <w:pPr>
        <w:spacing w:after="0" w:line="8" w:lineRule="exact"/>
        <w:rPr>
          <w:rFonts w:ascii="Times New Roman" w:cs="Times New Roman" w:eastAsia="Times New Roman" w:hAnsi="Times New Roman"/>
          <w:sz w:val="14"/>
          <w:szCs w:val="14"/>
          <w:color w:val="auto"/>
        </w:rPr>
      </w:pPr>
    </w:p>
    <w:p>
      <w:pPr>
        <w:ind w:left="520" w:hanging="260"/>
        <w:spacing w:after="0" w:line="257" w:lineRule="auto"/>
        <w:tabs>
          <w:tab w:leader="none" w:pos="520" w:val="left"/>
        </w:tabs>
        <w:numPr>
          <w:ilvl w:val="0"/>
          <w:numId w:val="9"/>
        </w:numPr>
        <w:rPr>
          <w:rFonts w:ascii="Calibri" w:cs="Calibri" w:eastAsia="Calibri" w:hAnsi="Calibri"/>
          <w:sz w:val="13"/>
          <w:szCs w:val="13"/>
          <w:color w:val="auto"/>
        </w:rPr>
      </w:pPr>
      <w:r>
        <w:rPr>
          <w:rFonts w:ascii="Times New Roman" w:cs="Times New Roman" w:eastAsia="Times New Roman" w:hAnsi="Times New Roman"/>
          <w:sz w:val="14"/>
          <w:szCs w:val="14"/>
          <w:color w:val="auto"/>
        </w:rPr>
        <w:t>We are incorporated in Canada, with our assets located both in Canada and the United States, with the result that it may be difficult for investors to enforce judgments obtained against us or some of our officers.</w:t>
      </w:r>
    </w:p>
    <w:p>
      <w:pPr>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and certain Canadian laws could delay or deter a change of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0"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4"/>
          <w:szCs w:val="14"/>
          <w:color w:val="auto"/>
        </w:rPr>
        <w:t>Our success depends on our new management team and Board of Directors, which is conducting a review of our pipeline and development plans for our hepatitis B programs.</w:t>
      </w:r>
    </w:p>
    <w:p>
      <w:pPr>
        <w:spacing w:after="0" w:line="1" w:lineRule="exact"/>
        <w:rPr>
          <w:rFonts w:ascii="Times New Roman" w:cs="Times New Roman" w:eastAsia="Times New Roman" w:hAnsi="Times New Roman"/>
          <w:sz w:val="17"/>
          <w:szCs w:val="17"/>
          <w:b w:val="1"/>
          <w:bCs w:val="1"/>
          <w:i w:val="1"/>
          <w:iCs w:val="1"/>
          <w:color w:val="auto"/>
        </w:rPr>
      </w:pPr>
    </w:p>
    <w:p>
      <w:pPr>
        <w:ind w:left="520" w:hanging="260"/>
        <w:spacing w:after="0"/>
        <w:tabs>
          <w:tab w:leader="none" w:pos="520" w:val="left"/>
        </w:tabs>
        <w:numPr>
          <w:ilvl w:val="0"/>
          <w:numId w:val="10"/>
        </w:numPr>
        <w:rPr>
          <w:rFonts w:ascii="Calibri" w:cs="Calibri" w:eastAsia="Calibri" w:hAnsi="Calibri"/>
          <w:sz w:val="13"/>
          <w:szCs w:val="13"/>
          <w:color w:val="auto"/>
        </w:rPr>
      </w:pPr>
      <w:r>
        <w:rPr>
          <w:rFonts w:ascii="Times New Roman" w:cs="Times New Roman" w:eastAsia="Times New Roman" w:hAnsi="Times New Roman"/>
          <w:sz w:val="14"/>
          <w:szCs w:val="14"/>
          <w:color w:val="auto"/>
        </w:rPr>
        <w:t>We could face liability from our controlled use of hazardous and radioactive materials.</w:t>
      </w:r>
    </w:p>
    <w:p>
      <w:pPr>
        <w:spacing w:after="0" w:line="2" w:lineRule="exact"/>
        <w:rPr>
          <w:rFonts w:ascii="Calibri" w:cs="Calibri" w:eastAsia="Calibri" w:hAnsi="Calibri"/>
          <w:sz w:val="13"/>
          <w:szCs w:val="13"/>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reputation, and operations could suffer in the event of information technology system failures.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assets or businesses, or form strategic alliances or collaborations or make investments in other companies or technologies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focused on infectious disease. We are currently developing imdusiran (AB-729), our proprietary, conjugated GalNAc, subcutaneously-delivered RNAi therapeutic, and AB-101, our proprietary oral PD-L1 inhibitor, for the treatment of chronic hepatitis B (cHBV). Through our ownership stake in and our license to Genevant Sciences, Ltd (Genevant), we are also focused on maximizing opportunity for our in-house developed Lipid Nanoparticle (LNP) delivery technology. </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continue to protect and defend our intellectual property, which is the subject of our ongoing lawsuits against Moderna Therapeutics, Inc. (Moderna) and against Pfizer Inc. and BioNTech SE (collectively, Pfizer/BioNTech) for their use of our patented LNP delivery technology in their COVID-19 mRNA-LNP vaccines. With respect to the Moderna lawsuit in the United States, a trial date has been set for September 24, 2025. On March 3, 2025, we announced that, along with Genevant, we have filed five international lawsuits against Moderna in connection with their use of our LNP technology in their COVID-19 mRNA-LNP and RSV vaccines. With respect to the Pfizer/BioNTech lawsuit, the claim construction hearing occurred in December 2024. The court is expected to provide its ruling on the claim construction and issue a further scheduling order, including the date for trial, in 2025.</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2024, we streamlined the organization to focus our efforts on advancing the clinical development of imdusiran and AB-101, and therefore ceased all discovery efforts, discontinued our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resulting in a total workforce after reductions of 19 employees. Our Board also decided to exit our corporate headquarters in Warminster, PA and to discontinue in-house scientific research. In connection with these actions, we expect to incur a one-time restructuring charge in the first quarter of 2025 of approximately $11 million to $13 million.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these organizational changes and our ongoing cost management efforts, we expect to significantly reduce our net cash burn in 2025 when compared to 2024. Our new Board and management team are reviewing our pipeline and development plans for our hepatitis B programs. To assist with this review, we are currently retaining experts in virology, hepatitis B, and in the clinical development and approval of antiviral treatments. We expect to provide a further update once our review is complete.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maximizing opportunities for our cHBV development programs and our in-house developed LNP delivery technology.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LNP delivery technology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28, 2022 and April 4,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delivery technology, which has been licensed for various applications to many different third parties. Our and Genevant’s LNP technology relies on microscopic particles built from four carefully selected types of fat-like molecules to shelter and protect RNA molecules. With this technology, the RNA can travel through the human body to a target cell and through the target cell’s membrane before releasing the RNA. Without this crucial delivery technology, the RNA would quickly degrade in the body and be ineffective. We remain committed to taking all legal actions necessary to defend and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4"/>
          <w:szCs w:val="14"/>
          <w:color w:val="auto"/>
        </w:rPr>
        <w:t>With respect to the Moderna lawsuit, the claim construction hearing occurred on February 8, 2024. On April 3, 2024, the court provided its claim construction ruling in which it construed the disputed claim terms and agreed with our position on most of the disputed claim terms. A trial date for the Moderna lawsuit in the United States has been set for September 24, 2025. On March 3, 2025, we announced that, along with Genevant, we have filed five international lawsuits against Moderna in connection with their use of our LNP technology in their COVID-19 mRNA-LNP and RSV vaccines. With respect to the Pfizer/BioNTech lawsuit, the claim construction hearing occurred on December 18, 2024. The court is expected to provide its ruling on the claim construction and issue a further scheduling order, including the date for trial,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cHBV programs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current HBV strategy is to develop a functional cure for patients with cHBV infection with imdusiran as a potential cornerstone in a combination therapy. We believe that a combination of compounds that can suppress hepatitis B virus deoxyribonucleic acid (HBV DNA) replication and HBsAg expression as well as boost patients’ HBV-specific immune response could address the most important elements to achieving a functional cure. Functional cure is defined as sustained HBsAg loss and HBV DNA less than the lower limit of quantification (&lt;LLOQ) 24 weeks off treatment, with or without anti-hepatitis B surface antibodies (anti-HBs). By providing a functional cure for patients with cHBV, we aim to prevent complications of disease progression, to decrease HBV burden by minimizing patient stigma and address the need for finite and more efficacious HBV treatments that further improve long-term outcomes and reduce associated healthcare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HBV product pipeline includes the following:</w:t>
      </w:r>
    </w:p>
    <w:p>
      <w:pPr>
        <w:spacing w:after="0" w:line="200" w:lineRule="exact"/>
        <w:rPr>
          <w:sz w:val="20"/>
          <w:szCs w:val="20"/>
          <w:color w:val="auto"/>
        </w:rPr>
      </w:pPr>
    </w:p>
    <w:p>
      <w:pPr>
        <w:jc w:val="both"/>
        <w:ind w:left="520" w:hanging="260"/>
        <w:spacing w:after="0" w:line="26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is our proprietary, conjugated GalNAc, subcutaneously-delivered RNAi therapeutic product candidate that suppresses all HBV antigens, including HBsAg expression, which is thought to be a key prerequisite to enable reawakening of a patient’s immune system to respond to HBV. Over 250 patients with cHBV infection have been dosed with imdusiran in our Phase 1 and Phase 2a clinical trials. Clinical data generated thus far has shown imdusiran provides meaningful reductions in HBsAg and HBV DNA and leads to functional cure in some patients, while being generally safe and well-tolerated.</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4"/>
          <w:szCs w:val="14"/>
          <w:color w:val="auto"/>
        </w:rPr>
        <w:t>AB-101 is our proprietary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of this clinical trial who received single and multiple doses, respectively, of AB-101 at increasing dose levels showed that AB-101 was generally well-tolerated with evidence of dose-dependent receptor occupancy. We have moved into Part 3 of this clinical trial which evaluates repeat dosing of AB-101 in patients with cHBV.</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in this case an immune modulator or a therapeutic vaccine, to further lower HBsAg levels and promote anti-HBV immunity. We believe that if we can lower HBsAg and promote immunity, we may achieve sustained HBsAg loss and HBV DNA &lt;LLOQ, potentially leading to a functional cure.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imdusiran development program includes the following Phase 2a clinical trials:</w:t>
      </w:r>
    </w:p>
    <w:p>
      <w:pPr>
        <w:spacing w:after="0" w:line="51" w:lineRule="exact"/>
        <w:rPr>
          <w:sz w:val="20"/>
          <w:szCs w:val="20"/>
          <w:color w:val="auto"/>
        </w:rPr>
      </w:pPr>
    </w:p>
    <w:p>
      <w:pPr>
        <w:jc w:val="both"/>
        <w:ind w:left="520" w:hanging="260"/>
        <w:spacing w:after="0" w:line="24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Peg-IFNα-2a (IFN), a standard-of-care immunomodulator, and ongoing standard-of-care nucleoside analogue (NA) therapy in patients with cHBV infection (IM-PROVE I). At the American Association for the Study of Liver Diseases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we presented new data from our IM-PROVE I Phase 2a clinical trial showing that six doses of imdusiran and 24 weeks of IFN added to ongoing NA therapy led to a functional cure rate of 50% (3/6) in HBeAg-negative patients with baseline HBsAg levels less than 1000 IU/mL, and an overall functional cure rate of 25% (3/12). Those patients that achieved a functional cure also seroconverted with high anti-HBs antibody levels. These data from the IM-PROVE I trial suggest that the combination of imdusiran, 24 weeks of IFN and NA therapy was generally safe and well-tolerated.</w:t>
      </w:r>
    </w:p>
    <w:p>
      <w:pPr>
        <w:spacing w:after="0" w:line="68" w:lineRule="exact"/>
        <w:rPr>
          <w:rFonts w:ascii="Times New Roman" w:cs="Times New Roman" w:eastAsia="Times New Roman" w:hAnsi="Times New Roman"/>
          <w:sz w:val="14"/>
          <w:szCs w:val="14"/>
          <w:color w:val="auto"/>
        </w:rPr>
      </w:pPr>
    </w:p>
    <w:p>
      <w:pPr>
        <w:ind w:left="520" w:hanging="260"/>
        <w:spacing w:after="0" w:line="288"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VTP-300, Barinthus Biotherapeutics plc’s (Barinthus) HBV antigen specific immunotherapy, ongoing NA therapy and including a cohort with the addition of low dose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 w:name="page11"/>
    <w:bookmarkEnd w:id="10"/>
    <w:p>
      <w:pPr>
        <w:jc w:val="both"/>
        <w:ind w:left="520"/>
        <w:spacing w:after="0" w:line="238" w:lineRule="auto"/>
        <w:rPr>
          <w:sz w:val="20"/>
          <w:szCs w:val="20"/>
          <w:color w:val="auto"/>
        </w:rPr>
      </w:pPr>
      <w:r>
        <w:rPr>
          <w:rFonts w:ascii="Times New Roman" w:cs="Times New Roman" w:eastAsia="Times New Roman" w:hAnsi="Times New Roman"/>
          <w:sz w:val="14"/>
          <w:szCs w:val="14"/>
          <w:color w:val="auto"/>
        </w:rPr>
        <w:t>patients with cHBV infection (IM-PROVE II). At the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we presented data from this clinical trial showing that the addition of low dose nivolumab increased rates of HBsAg loss in cHBV patients and 23% (3/13) of patients that received imdusiran, VTP-300, NA therapy and low dose nivolumab achieved HBsAg loss by week 48. We are evaluating functional cure in these patients.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on HBV</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Hepatitis B is a potentially life-threatening liver infection caused by HBV. HBV can cause chronic infection which leads to a higher risk of death from cirrhosis and liver cancer. cHBV infection represents a significant unmet medical need. There are HBV vaccines approved by the FDA, which are indicated for the prevention of infection caused by HBV. However, the World Health Organization estimates that over 250 million people worldwide suffer from cHBV infection, while other estimates indicate that approximately 2 million people in the United States suffer from cHBV infection. Even with the availability of effective vaccines and current treatment options, approximately 1.1 million people die every year from complications related to cHBV infection. We believe there is a compelling market opportunity for an HBV curative regimen. Currently, an estimated 32 million (13%) of a total of over 250 million people worldwide with cHBV infection are diagnosed and approximately 7 million (3%) are on treatment. Approximately 40-50% of cHBV patients have baseline HBsAg &lt;1000 IU/mL, representing a significant subpopulation of cHBV patients who may be more responsive to emerging combination therapies. We believe that the introduction of an HBV curative regimen with a finite duration would substantially increase diagnosis and treatment rates for people with cHBV infection.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treatments and their limitations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Today’s current treatment options for cHBV infection include IFN and NA therapies. IFN, a synthetic version of a substance produced by the body to fight infection, is administered by injection and has numerous side effects including flu-like symptoms and depression. NA therapies are oral antiviral medications which, when taken chronically, reduce HBV virus replication and inflammation and significantly reduce HBV DNA in the blood. Oral NA therapies have become the standard-of-care for HBV treatment, mainly due to their ability to drive viral load to undetectable levels in the serum of patients, their single pill once-a-day dosing and favorable safety profile. However, in most cases, once IFN and NA therapies are stopped, virus replication resumes and liver inflammation and fibrosis may still progress. While these treatments reduce viral load, less than 10% of patients are functionally cured after a finite treatment duration. With such low cure rates, most patients with cHBV infection are required to take NA therapy daily for the rest of their lives.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pipeline includes two product candidates that target various steps in the HBV viral lifecycle and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14605</wp:posOffset>
            </wp:positionV>
            <wp:extent cx="2910205" cy="1644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020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We continue to explore expansion opportunities for our pipeline through potential strategic alliances.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RNAi therapeutic (imdusiran, AB-729)</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RNAi therapeutics represent a significant advancement in drug development. RNAi therapeutics utilize a natural pathway within cells to silence genes by eliminating the disease-causing proteins that they code for. We are developing an RNAi therapeutic, imdusiran (AB-729), that is designed to reduce HBsAg expression and other HBV antigens in people with cHBV infection. Reducing HBsAg is widely believed to be a key prerequisite to enable a patient’s immune system to reawaken and respond against the virus.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Imdusiran (AB-729) has the following advantages over other RNAi therapeutics in development for cHBV infection:</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  </w:t>
      </w:r>
      <w:r>
        <w:rPr>
          <w:rFonts w:ascii="Times New Roman" w:cs="Times New Roman" w:eastAsia="Times New Roman" w:hAnsi="Times New Roman"/>
          <w:sz w:val="14"/>
          <w:szCs w:val="14"/>
          <w:color w:val="auto"/>
        </w:rPr>
        <w:t>Targeted to hepatocytes using our proprietary covalently conjugated GalNAc delivery technology which provides highly efficient liver-targeted uptake and enables subcutaneous dosing.</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Unique nucleotide sequence that is single trigger and targets all HBV transcripts including HBx from cccDNA and integrated DNA.</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Specific chemical modifications that reduce off-target effects while maintaining potency and providing durable liver exposure.</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Delivered at a low dose and less frequently.</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Immune activation properties with HBV-specific T-cell immune restoration and a decrease in exhausted T-cells in key responder patients.</w:t>
      </w:r>
    </w:p>
    <w:p>
      <w:pPr>
        <w:spacing w:after="0" w:line="16" w:lineRule="exact"/>
        <w:rPr>
          <w:sz w:val="20"/>
          <w:szCs w:val="20"/>
          <w:color w:val="auto"/>
        </w:rPr>
      </w:pPr>
    </w:p>
    <w:p>
      <w:pPr>
        <w:ind w:left="520" w:hanging="255"/>
        <w:spacing w:after="0" w:line="216"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In combination with interferon and NA therapy, has provided the highest functional cure rates in cHBV patients to date with a 50% (3/6) functional cure rate in patients with HBsAg&lt;1000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IU/mL at baseline.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 I Phase 2a proof-of-concept clinical trial evaluating imdusiran in combination with IFN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completed enrollment in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The primary objective of this trial was to initially lower HBsAg levels with imdusiran and then administer IFN as an immunomodulator to promote anti-HBV immune reawakening. We believe that if we can lower HBsAg and promote immune reawakening, we may achieve sustained HBsAg loss and HBV DNA &lt;LLOQ, potentially leading to a functional cure. After 24-weeks of dosing with imdusiran (60mg every 8 weeks, 4 doses) plus ongoing NA therapy, patients were randomized into one of four arms to receive a short course of IFN plus ongoing NA therapy for either 12 or 24 weeks, with or without an additional two doses of imdusiran. After completion of the assigned IFN treatment period, all patients remained on NA therapy for the initial 24-week follow-up period, and then discontinued NA treatment, provided they met protocol-defined stopping criteria. Patients who stopped NA therapy entered an intensive follow-up period for 48 weeks.</w:t>
      </w:r>
    </w:p>
    <w:p>
      <w:pPr>
        <w:spacing w:after="0" w:line="15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Select key data from patients in Cohort A1 of this Phase 2a clinical trial who received 6 doses of imdusiran, 24 weeks of IFN and ongoing NA therapy, as presented at the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include:</w:t>
      </w:r>
    </w:p>
    <w:p>
      <w:pPr>
        <w:spacing w:after="0" w:line="78" w:lineRule="exact"/>
        <w:rPr>
          <w:sz w:val="20"/>
          <w:szCs w:val="20"/>
          <w:color w:val="auto"/>
        </w:rPr>
      </w:pPr>
    </w:p>
    <w:p>
      <w:pPr>
        <w:ind w:left="440" w:hanging="180"/>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(3/6) of patients with baseline HBsAg &lt;1000 IU/mL achieved a functional cure.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25% (3/12) of patients achieved a functional cure.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patients that achieved a functional cure also seroconverted with anti-HBs levels increasing as patients lost HBsAg.</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data from the IM-PROVE I trial suggest that the combination of imdusiran and 24 weeks of IFN was generally safe and well-tolerated. There were no serious adverse events related to imdusiran, IFN or NA therapy, and no adverse events leading to discontinuation. The most common imdusiran-related treatment emergent adverse events (TEAEs) were transient alanine aminotransferase elevations and injection site bruising. The IFN-related TEAEs were consistent with the known safety profile of IFN.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We are currently reviewing our pipeline and development plans for our hepatitis B programs.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 II Phase 2a proof-of-concept clinical trial evaluating imdusiran in combination with Barinthus’ VTP-300</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Through a clinical collaboration agreement with Barinthus that we entered into in July 2021, we have completed enrollment in IM-PROVE II, a Phase 2a proof-of-concept clinical trial evaluating the safety, antiviral activity and immunogenicity of Barinthus’ VTP-300, an HBV antigen specific immunotherapy, administered after imdusiran in patients with cHBV infection. The initial trial design enrolled 40 NA-suppressed, HBeAg negative or positive, non-cirrhotic cHBV infected patients. The primary objective of this trial was to initially lower HBsAg levels with imdusiran and then administer VTP-300 as an immunomodulator to promote anti-HBV immune reawakening.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are being followed for an additional 24 to 48 weeks. Subsequently, we amended the IM-PROVE II clinical trial protocol to include another cohort that received imdusiran, VTP-300, NA therapy and low dose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 approved PD-1 inhibitor. In this additional cohort, patients received imdusiran (60mg every 8 weeks, 4 doses) plus NA therapy for 24 weeks, followed by administration of VTP-300 plus up to two low doses of nivolumab while remaining on NA therapy. At week 48, all patients were evaluated for eligibility to discontinue NA therapy, and are being followed for an additional 24 to 48 weeks.</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cohort that included low dose nivolumab was the best performing cohort in the IM-PROVE II clinical trial. At the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we presented data from this clinical trial showing that the addition of low dose nivolumab increased rates of HBsAg loss in cHBV patients and 23% (3/13) of patients that received imdusiran, VTP-300, NA therapy and low dose nivolumab achieved HBsAg loss by week 48. We are evaluating functional cure in these patients. Treatment with imdusiran, VTP-300, NA therapy and low dose nivolumab was generally safe and well-tolerated. There were no serious adverse events, Grade 3 or 4 adverse events or discontinuations due to adverse events.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IM-PROVE II clinical trial is being managed by us, subject to oversight by a joint development committee comprised of representatives from both companies. We and Barinthus retain full rights to our respective product candidates and are splitting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after its ongoing VTP-300 clinical trials have concluded. The parties do not intend to undertake a larger Phase 2b with this combination treatment regimen.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Oral PD-L1 Inhibitor (AB-101)</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infection.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AB-101 is our proprietary oral small-molecule PD-L1 inhibitor candidate that we believe will allow for controlled checkpoint blockade while minimizing the systemic safety issues typically seen with checkpoint inhibitor antibody therapies. AB-101 is differentiated from monoclonal antibody checkpoint inhibitors such as durvalumab (anti-PD-L1) and nivolumab (anti-PD-1) because it is liver centric, has a much shorter duration of effect, which may provide dosing and safety advantages, and has a novel mechanism of action as it binds to PD-L1 on the surface of cells causing dimerization and internalization of the PD-L1 protein followed by degradation within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color w:val="auto"/>
        </w:rPr>
        <w:t>Phase 1a/1b clinical trial to evaluate safety, tolerability and PK/PD of AB-101 (AB-101-001)</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AB-101-001 is a Phase 1a/1b clinical trial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Part 1 of this clinical trial enrolled four sequential cohorts of eight healthy subjects each (6 active: 2 placebo) receiving a single dose of AB-101 at increasing dose levels. The data showed that AB-101 was well-tolerated with evidence of dose-dependent receptor occupancy. In the 25mg cohort, all five evaluable subjects showed evidence of receptor occupancy between 50-100%. Part 2 of this clinical trial has enrolled to date two sequential cohorts of ten healthy subjects each receiving 10 mg or 25 mg of AB-101 (8 active: 2 placebo) daily for seven days. AB-101 was generally well-tolerated after repeat dosing in this clinical trial with evidence of dose-dependent receptor occupancy. In the 25mg cohort, all subjects showed evidence of receptor occupancy, with seven of the eight subjects demonstrating receptor occupancy greater than 70% during the seven-day dosing period.</w:t>
      </w:r>
    </w:p>
    <w:p>
      <w:pPr>
        <w:spacing w:after="0" w:line="16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have moved into Part 3 of this clinical trial which evaluates repeat doses of AB-101 for 28 days in patients with cHBV. Next steps for AB-101 will be determined after we complete our review of our pipeline and development plans for our hepatitis B programs.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Collaborations, Royalty Entitlements and Intellectual Property 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are payable on a product-by-product and region-by-region basis, subject to certain limitations.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Greater China and Taiwan. Qilu is required to use commercially reasonable efforts to develop, seek regulatory approval for, and commercialize at least one imdusiran product candidate in Greater China and Taiwan.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Greater China and Taiwan until we have completed manufacturing technology transfer to Qilu and Qilu has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(Alnylam) and Acuitas Therapeutics, Inc. (Acuitas)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two royalty entitlements to Alnylam’s global net sales of ONPATTRO.</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December 31, 2024, an aggregate of $25.0 million of royalties have been collected by OMERS.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2018, we entered into an agreement with Roivant Sciences Ltd. (Roivant), our largest shareholder, to launch Genevant,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On August 5, 2024, we and Genevant, along with Moderna, filed the Stipulation with the court that requested an amended case schedule to accommodate certain outstanding discovery from Moderna and third parties. The court approved the amended case schedule and the start of the trial was moved from April 21, 2025 to September 24,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Denmark, Estonia, Finland, France, Germany, Greece, Hungary, Iceland, Ireland, Italy, Latvia, Lithuania, Luxembourg, Malta, Monaco, Netherlands, Norway, Poland, Portugal, Romania, Slovenia, Spain, Sweden, Switzerland, and Turkey. We and Genevant are seeking monetary relief and injunctions against Moderna’s COVID-19 vaccine and, where applicable, additional Moderna products, which Moderna has represented use the same lipid nanoparticle technology as the COVID-19 vaccine, including its RSV vaccine, which recently received regulatory approval in the U.S. and European Union. Where permitted to do so at this stage, we and Genevant submitted evidence from testing of commercial Moderna product samples sourced from the U.S. and European Union indicating the samples contain lipid nanoparticles falling under the protective scope of the claims of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lipid composition patents. The five international lawsuits are as follows:</w:t>
      </w:r>
    </w:p>
    <w:p>
      <w:pPr>
        <w:spacing w:after="0" w:line="115" w:lineRule="exact"/>
        <w:rPr>
          <w:sz w:val="20"/>
          <w:szCs w:val="20"/>
          <w:color w:val="auto"/>
        </w:rPr>
      </w:pPr>
    </w:p>
    <w:p>
      <w:pPr>
        <w:ind w:left="640" w:hanging="190"/>
        <w:spacing w:after="0" w:line="303" w:lineRule="auto"/>
        <w:tabs>
          <w:tab w:leader="none" w:pos="54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Federal Court of Canada File No. T-704-25, seeking a permanent injunction and damages or, if Genevant so elects, an accounting of Moderna’s profits, attributable to infringement of Canadian Patent No. 2,721,333.</w:t>
      </w:r>
    </w:p>
    <w:p>
      <w:pPr>
        <w:spacing w:after="0" w:line="49" w:lineRule="exact"/>
        <w:rPr>
          <w:rFonts w:ascii="Times New Roman" w:cs="Times New Roman" w:eastAsia="Times New Roman" w:hAnsi="Times New Roman"/>
          <w:sz w:val="14"/>
          <w:szCs w:val="14"/>
          <w:color w:val="auto"/>
        </w:rPr>
      </w:pPr>
    </w:p>
    <w:p>
      <w:pPr>
        <w:ind w:left="540" w:hanging="90"/>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 Tokyo District Court Case No. 2025 (Wa) 70079, seeking a permanent injunction and reasonable royalty for infringement of Japanese Patent No. 5,475,753.</w:t>
      </w:r>
    </w:p>
    <w:p>
      <w:pPr>
        <w:spacing w:after="0" w:line="125" w:lineRule="exact"/>
        <w:rPr>
          <w:rFonts w:ascii="Times New Roman" w:cs="Times New Roman" w:eastAsia="Times New Roman" w:hAnsi="Times New Roman"/>
          <w:sz w:val="14"/>
          <w:szCs w:val="14"/>
          <w:color w:val="auto"/>
        </w:rPr>
      </w:pPr>
    </w:p>
    <w:p>
      <w:pPr>
        <w:ind w:left="640" w:hanging="190"/>
        <w:spacing w:after="0" w:line="287" w:lineRule="auto"/>
        <w:tabs>
          <w:tab w:leader="none" w:pos="54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Switzerland: a case seeking a permanent injunction and monetary relief, which upon later choice of Genevant and Arbutus can include surrender of profits, damages or a reasonable royalty, for infringement of EP 2 279 254.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16" w:name="page17"/>
    <w:bookmarkEnd w:id="16"/>
    <w:p>
      <w:pPr>
        <w:ind w:left="640" w:hanging="190"/>
        <w:spacing w:after="0" w:line="287" w:lineRule="auto"/>
        <w:tabs>
          <w:tab w:leader="none" w:pos="54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Unified Patent Court (UPC): Case 10280/2025, seeking permanent and provisional injunctions, as well as monetary damages, which can include recovery of Moderna’s unfair profits, from infringement of EP 2 279 254.</w:t>
      </w:r>
    </w:p>
    <w:p>
      <w:pPr>
        <w:spacing w:after="0" w:line="71" w:lineRule="exact"/>
        <w:rPr>
          <w:rFonts w:ascii="Times New Roman" w:cs="Times New Roman" w:eastAsia="Times New Roman" w:hAnsi="Times New Roman"/>
          <w:sz w:val="14"/>
          <w:szCs w:val="14"/>
          <w:color w:val="auto"/>
        </w:rPr>
      </w:pPr>
    </w:p>
    <w:p>
      <w:pPr>
        <w:ind w:left="640" w:hanging="190"/>
        <w:spacing w:after="0" w:line="287" w:lineRule="auto"/>
        <w:tabs>
          <w:tab w:leader="none" w:pos="54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UPC: Case 10280/2025, seeking permanent and provisional injunctions, as well as monetary damages, which can include recovery of Moderna’s unfair profits, from infringement of EP 4 241 767.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five complaints are being served on Moderna pursuant to the service of process rules of the respective courts. To date, Moderna has not responded to any of the five international lawsuits.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certain court dates. The claim construction hearing occurred in December 2024. The court is expected to provide its ruling on the claim construction and issue a further scheduling order, including the date for trial, in 2025. Fact discovery in the action is ongoing.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Inter Partes Review Petition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4"/>
          <w:szCs w:val="14"/>
          <w:color w:val="auto"/>
        </w:rPr>
        <w:t>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Both parties appealed the Opposition Division’s decision and on March 21, 2025, the Board of Appeals scheduled oral proceedings for January 15 and 16, 2026.</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are the patent holder, the ‘127 Patent, the ‘254 Patent, the other patents in our LNP portfolio have been licensed to Genevant and are included in the rights licensed by us to Genevant under the Genevant License.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Additional Payments Related to the Acquisition of Enantigen Therapeutics, Inc.</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stock purchase agreement, and a low single-digit royalty on net sales of such first commercialized HBV product, up to a maximum royalty payment of $1.0 million that, if paid, would be offset against our performance milestone payment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Proprietary Rights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proprietary protection for our product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 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 licensing opportunities to develop and maintain our proprietary position.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our proprietary expertise, we own a portfolio of patents and patent applications directed to RNAi drugs and processes directed at particular disease indications, chemical modification of RNAi molecules, LNP inventions, LNP compositions for delivering nucleic acids such as mRNA and RNAi, and the formulation and manufacture of LNP-based pharmaceuticals. In the United States our patents might be challenged by inter partes review or opposition proceedings. In Europe, upon grant, a period of nine months is allowed for notification of opposition to such granted patents. If our patents are subjected to inter partes review or opposition proceedings, we would incur significant costs to defend them. Further, our failure to prevail in any such proceedings could limit the patent protection available to our therapeutic HBV programs, coronavirus programs or RNAi platform, including our product candidates.</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own many patent families related to our compounds, formulations, and technology, but we cannot be certain that issued patents will be enforceable or provide adequate protection or that pending patent applications will result in issued patents.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table shows the estimated expiration dates, based on filing dates of pending patent applications, in the United States and the European Union for the primary patents for our product candidates currently in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4"/>
        </w:trPr>
        <w:tc>
          <w:tcPr>
            <w:tcW w:w="34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Patent Expiration in US</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Patent Expiration in EU</w:t>
            </w:r>
          </w:p>
        </w:tc>
      </w:tr>
      <w:tr>
        <w:trPr>
          <w:trHeight w:val="191"/>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Imdusiran</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r>
      <w:tr>
        <w:trPr>
          <w:trHeight w:val="192"/>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AB-101</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2042</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2042</w:t>
            </w:r>
          </w:p>
        </w:tc>
      </w:tr>
      <w:tr>
        <w:trPr>
          <w:trHeight w:val="192"/>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LNP</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Composition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2024, we had 44 full-time employees. In the first quarter of 2025, our Board took action to reduce our workforce by 57% resulting in a total workforce after reductions of 19 employees. None of our employees are represented by a labor union or covered by a collective bargaining agreement, nor have we experienced any work stoppages. We believe that relations with our employees are good. We supplement our in-house expertise with outsourced capabilities when it would be cost prohibitive to build our own in-house capabilities. For example, we outsource a substantial portion of our clinical trial work to clinical research organizations and a majority of our drug manufacturing is out-sourced to contract manufacturers. Our in-house clinical development and manufacturing teams implement our development strategies and oversee the activities of our outside vendors.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Oversight, Training and Development</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invested in the professional development of our employees. In order to promote long-term retention and to maximize the potential of our employees, we provide individualized performance management programs. We also offer needs-based supplemental training as well as mandatory compliance training to our employees. In order to monitor employee satisfaction and as well to identify ways in which employee satisfaction and engagement can be improved, we also survey our employees on an annual basis, reporting the results of the surveys to management and to our Board. We continue to score well on our employee surveys and our voluntary employee turnover remains well under industry average based on market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Drug development is a complex endeavor that requires deep expertise and attracting and retaining qualified employees for specialized biopharmaceutical positions. Our compensation programs are designed to attract and retain top talent. We offer every employee a total compensation package consisting of base salary, cash target bonus targeting the 50th to 75th percentile of market based on company size and industry, a comprehensive benefit package, including medical, dental and vision health care coverage, a 401(k) plan with an employer match, tax-advantaged savings accounts and equity compensation for every employee, which includes stock options and restricted stock units. We also provide eligible employees the opportunity to participate in our employee stock purchase plan and our employee rewards and recognition programs. In addition, we provide our employees with wellness programs and we offer mental health support to our employees and dependents.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Work-life Balance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aim to ensure our employees maintain a work-life balance by offering 25 paid days of time-off, 12 days of paid holidays, and we shut down in the last week of December. We provide paid parental leave to both birth and adoptive parents. In addition, we allow our employees to have a flexible work schedule and, to the extent possible, depending on the nature of the work, remote and hybrid work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 pre-commercial company engaged in clinical development with less than fifty employees. Manufacturing activities to support these activities is almost entirely outsourced and biohazardous and chemical waste disposal is handled by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vendors. Although our environmental footprint is subsequently small, we regularly review and evaluate our energy use to identify ways in which we can maximize efficiencies and minimize waste.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Social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culture at Arbutus reflects our commitment to our employees, to our community, and to making a meaningful contribution to world health. We are active in community outreach and contribute to local charities serving underserved communities in the Buck County, Pennsylvania area.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Safety in the Workplace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strive to provide a productive and safe working environment for our employees. To protect the health and safety of our employees, we have a Health and Safety Committee, officially certified by the Pennsylvania Department of Labor and Industry - Bureau of Workers Compensation, which is committed to the principles of leadership, responsibility, prevention, and compliance. We follow all recognized Environmental Health and Safety standards and management systems. We have also established an Occupational Health and Safety policy and related standard operating procedures, all of which are used to train our employees in the proper procedures for the workplace. We also solicit employee and contractor recommendations to improve on the safety of our working conditions. Our efforts resulted in zero reportable workplace injuries in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commitment to diversity and inclusion is demonstrated by our placement of ultimate responsibility for diversity, equity and inclusion with our Board, informed by the recommendations of management and our Board’s Nominating and Governance Committee. Our Code of Business Conduct (the Code of Conduct) prohibits discrimination and harassment of any kind, including discrimination or harassment based on age, race, national origin, color, religion, gender identity or expression, pregnancy status, sexual orientation, genetic information and disability. In addition to our anti-harassment and human rights policies, we also require mandatory annual training in unconscious bias and anti-harassment.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Contribution to World Health</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dedicated to meaningfully contributing to world health. We are pursuing the mission of developing a functional cure for hepatitis B viral infections, an unmet medical need affecting over 250 million people worldwide.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stated in our Code of Conduct, we are committed to complying with all applicable laws, rules and regulations not just in the United States and Canada, but in all the countries in which we operate. In addition to mandating training on our Code of Conduct on an annual basis, we also provide annual training on insider trading, anti-bribery and anti-corruption, among other topics. In addition, we require our suppliers’ agreements to comply with anti-bribery and anti-fraud provisions, and to comply with all applicable laws. All vendors also receive our Code of Conduct at the time of their engagement with us. We comply with all applicable regulations in conducting clinical trials, including FDA ethical regulations, the Declaration of Helsinki and the International Conference on Harmonisation - good Clinical Practices (ICH-GCP).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 testing product candidates, obtaining FDA and other regulatory approvals of product candidates, and achieving widespread market acceptance for those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4"/>
          <w:szCs w:val="14"/>
          <w:color w:val="auto"/>
        </w:rPr>
        <w:t>As a significant unmet medical need exists for HBV, there are several large and small pharmaceutical companies focused on delivering singular or combinations of therapeutics for the treatment of HBV. These companies include, but are not limited to, GlaxoSmithKline, Gilead Sciences, Assembly, Aligos Therapeutics, Bluejay Therapeutics, Inc., AusperBio Therapeutics, Inc. and Brii Biosciences Ltd. These companies are developing products such as antisense oligonucleotides, capsid inhibitors, RNAi therapeutics, immune modulators and surface antigen inhibitors. These product candidates are in various stages of preclinical and clinical development. Further, in addition to current investigational therapeutics in development, it is likely that additional drugs will become available in the future for the treatment of HBV.</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anticipate that we will face competition as new products enter the marketplace. Our competitors’ products may be safer, more effective, or more effectively marketed and sold than any product we may commercialize. Competitive singular or combination products may render one or more of our product candidates obsolete or non-competitive before we can recover the expenses of developing and commercializing any of our product candidates. It is also possible that the development of a cure or new treatment methods for HBV could render one or more of our product candidates non-competitive, obsolete, or reduce the demand for our product candidates.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ability to compete depends, in part, upon our ability to develop products, successfully complete the clinical trials and regulatory approval processes, and effectively market any approved products. Further, we need to attract and retain qualified personnel, obtain patent protection or otherwise develop proprietary product candidates or processes, and secure sufficient capital resources for the substantial time period between the discovery of lead compounds and their commercial sales, if 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rely on third-party manufacturers to supply drug substance and drug products, including imdusiran and AB-101, for our ongoing and anticipated clinical trials and non-clinical studies.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have no plans to establish any large-scale internal manufacturing facilities for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Regulation by governmental authorities in the United States and in other countries is a significant consideration in our product development, manufacturing and, if our product candidates are approved,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In the United States, we are subject to extensive regulation by the FDA and other federal, state, and local regulatory agencies. United States federal laws, such as the Federal Food, Drug, and Cosmetic Act (FD&amp;C Act), and regulations issued thereunder, govern the testing, development, manufacture, quality control, safety, effectiveness, approval, storage, labeling, record keeping, reporting, distribution, import, export, sale, and marketing of all biopharmaceutical products intended for therapeutic purposes. We believe that we and the third parties that work with us are in compliance in all material respects with currently applicable laws, rules and regulations; however, any failure to comply could have a material negative impact on our ability to successfully develop and commercialize our products, and therefore on our financial performance. In addition, the laws, rules and regulations that apply to our business are subject to change and it is difficult to foresee whether, how, or when such changes may affect our business.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Obtaining governmental approvals to market our product candidates and maintaining ongoing compliance with applicable federal, state, local and foreign statutes and regulations following any such approvals will require the expenditure of significant financial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and Approval</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Preclinical Testing. </w:t>
      </w:r>
      <w:r>
        <w:rPr>
          <w:rFonts w:ascii="Times New Roman" w:cs="Times New Roman" w:eastAsia="Times New Roman" w:hAnsi="Times New Roman"/>
          <w:sz w:val="14"/>
          <w:szCs w:val="14"/>
          <w:color w:val="auto"/>
        </w:rPr>
        <w:t>Before testing any product candidate in humans in the United States, a company must develop preclinical data, generally including laboratory evaluation of the product candidate’s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chemistry and formulation, as well as toxicological and pharmacological studies in animal species to assess safety and quality. Certain types of animal studies must be conducted in compliance with the FDA’s Good Laboratory Practice (GLP) regulations and the Animal Welfare Act, which is enforced by the Department of Agriculture.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IND Application. </w:t>
      </w:r>
      <w:r>
        <w:rPr>
          <w:rFonts w:ascii="Times New Roman" w:cs="Times New Roman" w:eastAsia="Times New Roman" w:hAnsi="Times New Roman"/>
          <w:sz w:val="14"/>
          <w:szCs w:val="14"/>
          <w:color w:val="auto"/>
        </w:rPr>
        <w:t>A person or entity sponsoring clinical trials in the United States to evaluate a product candidate’s safety and effectiveness must submit to the FDA, prior to commencing such trials,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Clinical Trials. </w:t>
      </w:r>
      <w:r>
        <w:rPr>
          <w:rFonts w:ascii="Times New Roman" w:cs="Times New Roman" w:eastAsia="Times New Roman" w:hAnsi="Times New Roman"/>
          <w:sz w:val="14"/>
          <w:szCs w:val="14"/>
          <w:color w:val="auto"/>
        </w:rPr>
        <w:t>Clinical trials involve administering a product candidate to human volunteers or patients under the supervision of a qualified clinical investigator. Clinical trials are subject to extensive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In the United States, this includes compliance with the FDA’s bioresearch monitoring regulations and current good clinical practices (GCP)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 with the protocol and investigational plan, adequately monitoring the clinical trial, and timely reporting adverse effects.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testing is typically performed in three phases, which may overlap or be subdivided in some cases.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Phase 1 trials, the product candidate is administered to a small number of human subjects to assess its safety and to develop detailed profiles of its pharmacological and pharmacokinetic actions (i.e., absorption, distribution, metabolism and excretion), assess the early safety profile, determine side effects associated with increasing doses, and, if possible, gain early evidence of effectiveness. Although Phase 1 trials are typically conducted in healthy human subjects, in some instances (including, for example, with some cancer therapies) the trial subjects are patients with the targeted disease or condition.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Phase 2 trials, the product candidate is administered to a relatively small sample of the intended patient population to develop initial data regarding efficacy in the targeted disease, determine the optimal dose range, and generate additional information regarding the product candidate’s safety. Additional animal toxicology studies may precede this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4"/>
          <w:szCs w:val="14"/>
          <w:color w:val="auto"/>
        </w:rPr>
        <w:t>In Phase 3 trials, the product candidate is administered to a larger group of patients with the target disease or disorder,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product candidate’s overall risk-benefit profile and to provide a basis for product labeling. Phase 3 data often form the core basis on which the FDA evaluates a product candidate’s safety and effectiveness when considering the product application.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Moreover, data from clinical trials are not always conclusive and may be subject to alternative interpretations that could delay, limit or prevent approval.</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When a clinical trial is carried out in the European Union, the Clinical Trials Regulation (CTR) provides the regulatory framework. On January 31, 2022, this CTR repealed the Clinical Trials Directive (CTD) and national implementing legislation in the European Union Member States. From January 31, 2025, all trials approved under the old CTD that continue running after this date, will need to comply with the new CTR. Until January 30, 2023, clinical trial sponsors could choose whether to start a new clinical trial under the CTD or under the new CTR. However, from January 31, 2023 onwards, new clinical trials would automatically fall under the scope of the new CTR. The main characteristics of the CTR include: a streamlined application procedure to the EMA through a single entry point, the “Clinical Trials Information System” enabling sponsors to apply for clinical trial authorization in up to 30 European countries; a single set of documents to be prepared and submitted for the application as well as simplified reporting procedures for clinical trial sponsors; and a harmonized procedure for the assessment of applications for clinical trials.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NDA Submission and Review. </w:t>
      </w:r>
      <w:r>
        <w:rPr>
          <w:rFonts w:ascii="Times New Roman" w:cs="Times New Roman" w:eastAsia="Times New Roman" w:hAnsi="Times New Roman"/>
          <w:sz w:val="14"/>
          <w:szCs w:val="14"/>
          <w:color w:val="auto"/>
        </w:rPr>
        <w:t>After completing the clinical studies, a sponsor seeking approval to market a product candidate in the United States submits to the FDA a New Drug Application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(NDA). The NDA is a comprehensive application intended to demonstrate the product candidate’s safety and effectiveness and includes, among other things, preclinical and clinical data, information about the product candidate’s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FDA performance goals generally provide for action on an NDA within 10 months of the 60-day filing date, or within 12 months of the NDA submission. That deadline can be extended under certain circumstances, including by the FDA’s requests for additional information. The targeted action date can also be shortened to 6 months of the 60-day filing date, or 8 months after NDA submission for product candidates that are granted priority review designation because they are intended to treat serious or life-threatening conditions and, if approved, would provide a significant improvement in safety or effectiveness when compared to standard application.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product candidate receives Fast Track designation, the FDA may review sections of the NDA on a rolling basis, rather than requiring the entire application to be submitted to begin the review. Product candidates with Fast Track designation also may be eligible for more frequent meetings and correspondence with the FDA about the product candidate’s development. Another FDA program intended to expedite development is the Accelerated Approval pathway, which allows approval on the basis of a surrogate endpoint that is reasonably likely to predict clinical benefit or on an intermediate clinical endpoint that is reasonably likely to predict clinical benefit. To qualify for review under the Accelerated Approval pathway, a product candidate must treat a serious condition, provide a meaningful advantage over available therapies, and demonstrate an effect on a surrogate endpoint that is reasonably likely to predict clinical benefit or on an intermediate clinical endpoint. On December 29, 2022, Congress enacted the Consolidated Appropriations Act of 2023, which included several changes to the Accelerated Approval pathway within the Food and Drug Omnibus Reform Act (FDORA).</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FDORA, the FDA must specify the conditions for any post-approval studies before granting an Accelerated Approval. FDORA gives the agency significant flexibility in setting forth such conditions, which may include enrollment targets, study protocol and milestones—including the target date of study completion. The FDA may also require, as appropriate, that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14"/>
          <w:szCs w:val="14"/>
          <w:color w:val="auto"/>
        </w:rPr>
        <w:t>post-approval studies be underway prior to Accelerated Approval or within a specified time from the date of approval. Accelerated Approval sponsors are required to report progress every six months on required post-approval trials. Breakthrough Therapy designation, which is available for product candidates under development for serious or life-threatening conditions and where preliminary clinical evidence shows that the product candidate may have substantial improvement on at least one clinically significant endpoint over available therapies, means that a product candidate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 may rescind the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 or that we will be able to maintain such designations if we qualify for such programs.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product, the FDA also requires that the facilities at which the product will be manufactured or advanced through the supply chain be in compliance with current good manufacturing practices (GMP) requirements and regulations governing, among other things, the manufacture, shipment, and storage of the product. The FDA also can conduct audits to determine if the clinical trials were conducted in compliance with GCP. After review of an NDA, the FDA may grant marketing approval, request additional information, or issue a complete response letter (CRL) communicating the reasons for the agency’s decision not to approve the application. The CRL may request additional information, including additional preclinical or clinical data, for the FDA to reconsider the application.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post-marketing requirements to conduct additional clinical trials or non-clinical studies or to conduct surveillance programs to monitor the product’s effects. Under the Pediatric Research Equity Act (PREA), certain applications for approval must also include an assessment, generally based on clinical study data, of the safety and effectiveness of the subject product in relevant pediatric populations, unless a waiver or deferral is granted.</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The Drug Price Competition and Patent Term Restoration Act of 1984 (the Hatch-Waxman Act) establishes two abbreviated approval pathways for product candidates that are in some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way follow-on versions of already approved branded NDA products: (i) generic versions of the approved reference listed drug (RLD), which may be approved under an abbreviated new drug application (ANDA) by showing that the generic product is the “same as” the approved product in key respects; and (ii) a product that is similar but not identical to a listed drug, which may be approved under a 505(b)(2) NDA, in which the sponsor relies to some degree on information from investigations that were not conducted by or for the applicant and for which the applicant has not obtained a right of reference, and submits its own product-specific data to support the differences between the product and the listed drug.</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sponsor of an ANDA or 505(b)(2) application seeking to rely on an approved product as the RLD or listed drug must make one of several certifications regarding each patent for the RLD that is listed in the FDA publication, </w:t>
      </w:r>
      <w:r>
        <w:rPr>
          <w:rFonts w:ascii="Times New Roman" w:cs="Times New Roman" w:eastAsia="Times New Roman" w:hAnsi="Times New Roman"/>
          <w:sz w:val="14"/>
          <w:szCs w:val="14"/>
          <w:i w:val="1"/>
          <w:iCs w:val="1"/>
          <w:color w:val="auto"/>
        </w:rPr>
        <w:t>Approved Drug Products with Therapeutic Equivalence Evaluations</w:t>
      </w:r>
      <w:r>
        <w:rPr>
          <w:rFonts w:ascii="Times New Roman" w:cs="Times New Roman" w:eastAsia="Times New Roman" w:hAnsi="Times New Roman"/>
          <w:sz w:val="14"/>
          <w:szCs w:val="14"/>
          <w:color w:val="auto"/>
        </w:rPr>
        <w:t xml:space="preserve">, which is referred to as the </w:t>
      </w:r>
      <w:r>
        <w:rPr>
          <w:rFonts w:ascii="Times New Roman" w:cs="Times New Roman" w:eastAsia="Times New Roman" w:hAnsi="Times New Roman"/>
          <w:sz w:val="14"/>
          <w:szCs w:val="14"/>
          <w:i w:val="1"/>
          <w:iCs w:val="1"/>
          <w:color w:val="auto"/>
        </w:rPr>
        <w:t>Orange Book</w:t>
      </w:r>
      <w:r>
        <w:rPr>
          <w:rFonts w:ascii="Times New Roman" w:cs="Times New Roman" w:eastAsia="Times New Roman" w:hAnsi="Times New Roman"/>
          <w:sz w:val="14"/>
          <w:szCs w:val="14"/>
          <w:color w:val="auto"/>
        </w:rPr>
        <w:t>. A “Paragraph I” certification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4"/>
          <w:szCs w:val="14"/>
          <w:color w:val="auto"/>
        </w:rPr>
        <w:t>sponsor’s statement that patent information has not been filed for the RLD. A “Paragraph II” certification is the sponsor’s 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Exclusivity and Patent Protection. </w:t>
      </w:r>
      <w:r>
        <w:rPr>
          <w:rFonts w:ascii="Times New Roman" w:cs="Times New Roman" w:eastAsia="Times New Roman" w:hAnsi="Times New Roman"/>
          <w:sz w:val="14"/>
          <w:szCs w:val="14"/>
          <w:color w:val="auto"/>
        </w:rPr>
        <w:t>In the United States and elsewhere, certain regulatory exclusivities and patent rights can provide an approved drug product with protection from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and an ANDA under section 505(j) of the FD&amp;C Act or as a listed drug for an applicant filing an NDA under section 505(b)(2) 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European Union, new medicinal products are granted a protection period of eight years of data exclusivity and an additional two years of market exclusivity. As such, for a period of eight years, generics cannot use the data of the innovator to obtain a marketing authorization. Only after eight years have lapsed, other parties that apply for a marketing authorization (generics or biosimilars) may make reference to the dossier of the originator product. Only after another two years (i.e., a total of ten years) may a generic or biosimilar medicinal product be placed on the market.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2023, the European Commission published a proposal to reform this system. In the Commission’s proposal, the current standard period of regulatory data protection would be reduced from eight years to six years. In the adopted position of the European Parliament, the baseline of 8 years of data protection will be reduced to 7.5 years. The legislative process for this reform is expected to take several years, and adoption of the new legislation is not expected to take place before 2026. It is currently uncertain if the proposal will be adopted in its current form, and it is uncertain if and when the revised legislation would enter into force.</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Emergency Use Authorization (EUA). </w:t>
      </w:r>
      <w:r>
        <w:rPr>
          <w:rFonts w:ascii="Times New Roman" w:cs="Times New Roman" w:eastAsia="Times New Roman" w:hAnsi="Times New Roman"/>
          <w:sz w:val="14"/>
          <w:szCs w:val="14"/>
          <w:color w:val="auto"/>
        </w:rPr>
        <w:t>The Secretary of Health and Human Services may authorize unapproved medical products to be marketed in the context of an actual or potential emergency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been designated by the United States government. The COVID-19 pandemic has been designated as such a national emergency. After an emergency has been announced, the Secretary of Health and Human Services may authorize the issuance of and the FDA Commissioner may issue EUAs for the use of specific products based on criteria established by the FDCA, including that the product at issue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5" w:name="page26"/>
    <w:bookmarkEnd w:id="25"/>
    <w:p>
      <w:pPr>
        <w:jc w:val="both"/>
        <w:spacing w:after="0" w:line="276" w:lineRule="auto"/>
        <w:rPr>
          <w:sz w:val="20"/>
          <w:szCs w:val="20"/>
          <w:color w:val="auto"/>
        </w:rPr>
      </w:pPr>
      <w:r>
        <w:rPr>
          <w:rFonts w:ascii="Times New Roman" w:cs="Times New Roman" w:eastAsia="Times New Roman" w:hAnsi="Times New Roman"/>
          <w:sz w:val="14"/>
          <w:szCs w:val="14"/>
          <w:color w:val="auto"/>
        </w:rPr>
        <w:t>effective in diagnosing, treating, or preventing serious or life-threatening diseases when there are no adequate, approved, and available alternatives. Although the criteria of an EUA differ from the criteria for approval of an NDA, EUAs nevertheless require the development and submission of data to satisfy the relevant FDA standards, and a number of ongoing compliance obligations. The FDA</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expects EUA holders to work toward submission of full applications, such as an NDA, as soon as possible. An EUA is also subject to additional conditions and restrictions and is product-specific. An EUA terminates when the emergency determination underlying the EUA terminates. An EUA is not a long-term alternative to obtaining FDA approval, licensure, or clearance for a product. The FDA may revoke an EUA for a variety of reasons, including where it is determined that the underlying health emergency no longer exists or warrants such authorization, so it is not possible to predict how long an EUA may remain in place.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Regulation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Once approved, drug products are subject to continuing extensive regulation by the FDA, including ongoing monitoring for safety information, maintaining appropriate registrations and licenses, and hosting periodic inspections.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Good Manufacturing Practices. </w:t>
      </w:r>
      <w:r>
        <w:rPr>
          <w:rFonts w:ascii="Times New Roman" w:cs="Times New Roman" w:eastAsia="Times New Roman" w:hAnsi="Times New Roman"/>
          <w:sz w:val="14"/>
          <w:szCs w:val="14"/>
          <w:color w:val="auto"/>
        </w:rPr>
        <w:t>Companies engaged in manufacturing drug products or their components must comply with applicable GMP requirements, which include requirements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GMP or other applicable FDA regulatory requirements.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Once a product is approved, the advertising, promotion and marketing of the product will be subject to close regulation, including with regard to promotion to healthcare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New Legislation</w:t>
      </w:r>
      <w:r>
        <w:rPr>
          <w:rFonts w:ascii="Times New Roman" w:cs="Times New Roman" w:eastAsia="Times New Roman" w:hAnsi="Times New Roman"/>
          <w:sz w:val="14"/>
          <w:szCs w:val="14"/>
          <w:color w:val="auto"/>
        </w:rPr>
        <w:t>. New legislation is passed periodically in Congress, or at the state level, that could significantly change the statutory provisions governing the approval, manufacturing and marketing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products regulated by the FDA. Further, the FDA revises its regulations and guidance in light of new legislation or may revise, withdraw, or issue new regulations and guidance in light of the priorities of the new presidential administration in ways that may affect our business or product candidates. It is impossible to predict whether other changes to legislation, regulation, or guidance will be enacted, or what the impact of such changes, if any, may be.</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However, an important and foreseeable example of new legislation is the forthcoming European Union pharmaceutical legislation revision. The European Commission presented a legislative proposal in April 2023 that would change European Union pharmaceutical law with respect to for example regulatory data exclusivity, environmental risk assessment, medicines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color w:val="auto"/>
        </w:rPr>
        <w:t>shortages and other topics. In April 2024, the European Parliament adopted its position on the Commission’s proposal, amending some of the proposed legislation. The legislative process for this reform is expected to take several years. It is currently uncertain if the proposal will be adopted in its current form, and it is uncertain if and when the revised legislation would enter into force. Adoption of the legislation is not expected to take place before 2026.</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Other Requirements</w:t>
      </w:r>
      <w:r>
        <w:rPr>
          <w:rFonts w:ascii="Times New Roman" w:cs="Times New Roman" w:eastAsia="Times New Roman" w:hAnsi="Times New Roman"/>
          <w:sz w:val="14"/>
          <w:szCs w:val="14"/>
          <w:color w:val="auto"/>
        </w:rPr>
        <w:t>. Companies that manufacture or distribute drug products pursuant to approved NDAs must meet numerous other regulatory requirements, including adverse event reporting,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submission of periodic reports, and record-keeping obligations.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Fraud and Abuse Laws. </w:t>
      </w:r>
      <w:r>
        <w:rPr>
          <w:rFonts w:ascii="Times New Roman" w:cs="Times New Roman" w:eastAsia="Times New Roman" w:hAnsi="Times New Roman"/>
          <w:sz w:val="14"/>
          <w:szCs w:val="14"/>
          <w:color w:val="auto"/>
        </w:rPr>
        <w:t>At such time as we market, sell and distribute any products for which we obtain marketing approval, it is possible that our business activities could be subject to scrutiny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enforcement under one or more federal or state health care fraud and abuse laws and regulations, which may constrain the business or financial arrangements and relationships through which we market, sell and distribute any products for which we obtain marketing approval. The applicable federal and state health care fraud and abuse laws and regulations that may affect our ability to operate include:</w:t>
      </w:r>
    </w:p>
    <w:p>
      <w:pPr>
        <w:spacing w:after="0" w:line="161" w:lineRule="exact"/>
        <w:rPr>
          <w:sz w:val="20"/>
          <w:szCs w:val="20"/>
          <w:color w:val="auto"/>
        </w:rPr>
      </w:pPr>
    </w:p>
    <w:p>
      <w:pPr>
        <w:jc w:val="both"/>
        <w:ind w:left="520" w:hanging="260"/>
        <w:spacing w:after="0" w:line="25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United States federal Anti-Kickback Law without proving actual knowledge of the statute or specific intent to violate it. In addition, the government may assert that a claim including items or services resulting from a violation of the United States federal Anti-Kickback Law constitutes a false or fraudulent claim for purposes of the United States federal civil False Claims Act. Although there are a number of statutory exemptions and regulatory safe harbors to the United States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339" w:lineRule="exact"/>
        <w:rPr>
          <w:rFonts w:ascii="Times New Roman" w:cs="Times New Roman" w:eastAsia="Times New Roman" w:hAnsi="Times New Roman"/>
          <w:sz w:val="14"/>
          <w:szCs w:val="14"/>
          <w:color w:val="auto"/>
        </w:rPr>
      </w:pPr>
    </w:p>
    <w:p>
      <w:pPr>
        <w:jc w:val="both"/>
        <w:ind w:left="520" w:hanging="260"/>
        <w:spacing w:after="0" w:line="256"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fraud provisions of the Health Insurance Portability and Accountability Act of 1996 (HIPAA), which impose criminal liability for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7" w:name="page28"/>
    <w:bookmarkEnd w:id="27"/>
    <w:p>
      <w:pPr>
        <w:ind w:left="520"/>
        <w:spacing w:after="0" w:line="287" w:lineRule="auto"/>
        <w:rPr>
          <w:sz w:val="20"/>
          <w:szCs w:val="20"/>
          <w:color w:val="auto"/>
        </w:rPr>
      </w:pPr>
      <w:r>
        <w:rPr>
          <w:rFonts w:ascii="Times New Roman" w:cs="Times New Roman" w:eastAsia="Times New Roman" w:hAnsi="Times New Roman"/>
          <w:sz w:val="14"/>
          <w:szCs w:val="14"/>
          <w:color w:val="auto"/>
        </w:rPr>
        <w:t>or document knowing the same to contain any materially false fictitious or fraudulent statement or entry, in connection with the delivery of or payment for healthcare benefits, items or services.</w:t>
      </w:r>
    </w:p>
    <w:p>
      <w:pPr>
        <w:spacing w:after="0" w:line="145" w:lineRule="exact"/>
        <w:rPr>
          <w:sz w:val="20"/>
          <w:szCs w:val="20"/>
          <w:color w:val="auto"/>
        </w:rPr>
      </w:pPr>
    </w:p>
    <w:p>
      <w:pPr>
        <w:jc w:val="both"/>
        <w:ind w:left="520" w:hanging="260"/>
        <w:spacing w:after="0" w:line="259"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physician assistants, nurse practitioners, clinical nurse specialists, certified nurse anesthetists, certified nurse-midwives, and teaching hospitals, as well as ownership and investment interests held in the company by physicians and their immediate family members.</w:t>
      </w:r>
    </w:p>
    <w:p>
      <w:pPr>
        <w:spacing w:after="0" w:line="164"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Violations of any of the laws described above or any other governmental regulations are punishable by significant civil, criminal and administrative penalties, damages, imprisonment,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Privacy Laws</w:t>
      </w:r>
      <w:r>
        <w:rPr>
          <w:rFonts w:ascii="Times New Roman" w:cs="Times New Roman" w:eastAsia="Times New Roman" w:hAnsi="Times New Roman"/>
          <w:sz w:val="14"/>
          <w:szCs w:val="14"/>
          <w:color w:val="auto"/>
        </w:rPr>
        <w:t>. We are also subject to federal, state and foreign laws and regulations governing data privacy, the security of personal information, including health information, and the collection, 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Federal Trade Commission Act (FTC Act) and the Health Breach Notification Rule, and the California Consumer Privacy Act (CCPA), as amended by the California Privacy Rights Act (CPRA))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United States implicate local and national data protection standards, impose additional compliance requirements and generate additional risks of enforcement for non-compliance. The European Union’s General Data Protection Regulation, including as implemented in the United Kingdom, (collectively, GDPR) and other data protection, privacy and similar national, state/provincial and local laws may restrict the access, use, storage, disclosure and other processing activities concerning patient health information abroad. Compliance efforts will likely be an increasing and substantial cost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4"/>
          <w:szCs w:val="14"/>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that prescribe our products and research institutions we collaborate with, and they are subject to privacy and security requirements under HIPAA. Although we are not directly subject to HIPAA other than potentially with respect to providing certain employee benefits, we could potentially be subject to criminal penalties if we, or our affiliates or our agents knowingly receive individually identifiable health information maintained by a HIPAA-covered entity in a manner that is not authorized or permitted by HIPAA.</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which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w:t>
      </w:r>
    </w:p>
    <w:p>
      <w:pPr>
        <w:spacing w:after="0" w:line="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information; such failure may also constitute unfair or deceptive acts or practices in violation of the FTC Act. Enforcement by the FTC under the FTC Act can result in civil penalties or enforcement actions. The FTC also has the power to enforce the Health Breach Notification Rule, which imposes notification obligations on companies for breaches of certain health information contained in personal health records. The FTC has brought enforcement actions under both Section 5 of the FTC Act and the Health Breach Notification Rule.</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California, the CCPA establishes certain requirements for data use and sharing transparency and provides California residents certain rights concerning the use, disclosure, and retention of their personal information. The CCPA and its implementing regulations have already been amended multiple times since their enactment. In November 2020, California voters approved the CPRA ballot initiative which introduced significant amendments to the CCPA and established and funded a dedicated California privacy regulator, the California Privacy Protection Agency (CPPA). The amendments introduced by the CPRA went into effect on January 1, 2023, and implementing regulations continue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These laws and regulations are evolving and subject to interpretation, and may impose limitations on our activities or otherwise adversely affect our business.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Activities outside of the United States implicate local and national data protection standards, impose additional compliance requirements and generate additional risks of enforcement for non-compliance. The European Union’s/United Kingdom’s GDPR and other data protection, privacy and similar national, state/provincial and local laws may also restrict the access, use, storage, disclosure and other processing activities concerning patient health information abroad. We may be required to expend significant capital and other resources to ensure ongoing compliance with applicable privacy, data protection and cybersecurity laws, to protect against security breaches and hackers, to notify breaches with competent authorities, and to alleviate problems caused by such breaches. Compliance with these laws is difficult, constantly evolving, time consuming, and requires a flexible privacy framework and substantial resources. Compliance efforts will likely be an increasing and substantial cost in the future. There are also a number of legislative proposals in the European Union, the United States, at both the federal and state level, and other jurisdictions that could impose new obligations or limitations in areas affecting our business. In addition, some countries are considering or have passed legislation implementing data protection requirements such as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4"/>
          <w:szCs w:val="14"/>
          <w:color w:val="auto"/>
        </w:rPr>
        <w:t>new products, negative publicity, increased operating costs, diversion of management time and attention, and remedies that harm our business, including fines or demands or orders that we modify or cease existing business practices. The GDPR imposes significant fines and other administrative penalties to which we could be subject in the event of any non-compliance, including fines of up to EUR 10,000,000 or up to 2% of our total worldwide annual turnover for certain comparatively minor offenses, or up to EUR 20,000,000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With regard to the transfer of personal data, the GDPR generally restricts the ability of companies to transfer personal data from the European Economic Area to the United States and other countries, which may adversely affect our ability to transfer personal data or otherwise may cause us to incur significant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July 2023. The adequacy decision concludes that the United States ensures an adequate level of protection (compared to that of the EU) for personal data transferred from the EU to United States companies participating in the EU-U.S. Data Privacy Framework. The adequacy decisions of the European Commission are subject to periodic reviews and may be amended or withdrawn. Another example of a lawful transfer mechanism is using the EU Standard Contractual Clauses as approved by the European Commission in June 2021, which are the most common used transfer mechanism used to transfer personal data out of the EU. In order to use the EU Standard Contractual Clauses mechanism, the exporter and the importer must ensure that the importer may guarantee a level of personal data protection in the importing country’s level of protection must be adequate that is essentially equivalent to that of the European Economic Area. Compliance with EU data transfer obligations involves conducting transfer impact assessments, which includes</w:t>
      </w:r>
    </w:p>
    <w:p>
      <w:pPr>
        <w:spacing w:after="0" w:line="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documenting detailed analyses of data access and protection laws in the countries in which data importers are located, which can be costly and time-consuming. Data importers must also expend resources in analyzing their ability to comply with transfer obligations, including implementing new safeguards and controls to further protect personal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 candidates for which we may obtain regulatory approval and commercialize.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foreign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Adverse pricing limitations may hinder our ability to recoup our investment in one or more product candidates even if our product candidates obtain marketing approval.</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ability to commercialize any products successfully also will depend in part on the extent to which coverage and adequate reimbursement for these products and related treatments will be available in a timely manner from third-party payors, which, in the United States, include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primary trend in the United States healthcare industry and elsewhere is cost containment. Government healthcare programs and other third-party payors are increasingly challenging the prices charged for medical products and services and examining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0" w:name="page31"/>
    <w:bookmarkEnd w:id="30"/>
    <w:p>
      <w:pPr>
        <w:jc w:val="both"/>
        <w:spacing w:after="0" w:line="259" w:lineRule="auto"/>
        <w:rPr>
          <w:sz w:val="20"/>
          <w:szCs w:val="20"/>
          <w:color w:val="auto"/>
        </w:rPr>
      </w:pPr>
      <w:r>
        <w:rPr>
          <w:rFonts w:ascii="Times New Roman" w:cs="Times New Roman" w:eastAsia="Times New Roman" w:hAnsi="Times New Roman"/>
          <w:sz w:val="14"/>
          <w:szCs w:val="14"/>
          <w:color w:val="auto"/>
        </w:rPr>
        <w:t>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Price Reporting</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under Part B of the Medicare program.</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may be used by CMS to calculate Medicare payment rates. Manufacturers are obligated to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 Further, the Inflation Reduction Act of 2022 (IRA) establishes a Medicare Part B inflation rebate scheme,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4"/>
          <w:szCs w:val="14"/>
          <w:color w:val="auto"/>
        </w:rPr>
        <w:t>generally speaking, manufacturers will owe rebates if the average sales price of a Part B drug increases faster than the pace of inflation. Failure to timely pay a Part B inflation rebate is subject to a civil monetary penalty.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Medicare Part D generally provides coverage to enrolled Medicare patients for self-administered drugs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drugs that are not administered by a physician). Medicare Part D is administered by private prescription drug plans approved by the United States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under the new manufacturer discount program established by the IRA and effective in 2025, manufacturers are, in general, required to provide a 10% discount on a covered Part D drug where a beneficiary is in the initial phase of Part D coverage and a 20% discount where a beneficiary is in the catastrophic phase of Part D coverage. Failure to pay a discount under this new program will be subject to a civil monetary penalty. In addition,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IRA also creates a drug price negotiation program under which the prices for certain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 candidates.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Healthcare Reform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United States federal and state governments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Additionally, some states have established Prescription Drug Affordability Boards (or similar entities) to review high-cost drugs and, in some cases, set upper payment limits.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recent years, Congress has considered reductions in Medicare reimbursement levels for drugs administered by physicians. The Centers for Medicare &amp; Medicaid Services (CMS), the agency that administers the Medicare and Medicaid programs, has authority to revise reimbursement rates and to implement coverage restrictions. Cost reduction initiatives and changes in coverage implemented through legislation or regulation could decrease utilization of and reimbursement for any approved products, which in turn would affect the price we can receive for those products. Any reduction in reimbursement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2" w:name="page33"/>
    <w:bookmarkEnd w:id="32"/>
    <w:p>
      <w:pPr>
        <w:jc w:val="both"/>
        <w:spacing w:after="0" w:line="287" w:lineRule="auto"/>
        <w:rPr>
          <w:sz w:val="20"/>
          <w:szCs w:val="20"/>
          <w:color w:val="auto"/>
        </w:rPr>
      </w:pPr>
      <w:r>
        <w:rPr>
          <w:rFonts w:ascii="Times New Roman" w:cs="Times New Roman" w:eastAsia="Times New Roman" w:hAnsi="Times New Roman"/>
          <w:sz w:val="14"/>
          <w:szCs w:val="14"/>
          <w:color w:val="auto"/>
        </w:rPr>
        <w:t>Medicare and other government programs may result in a similar reduction in payment from commercial payers. The implementation of cost containment measures or other healthcare reforms may prevent us from being able to generate revenue, attain profitability, or commercialize our products.</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Affordable Care Act, as amended (the Affordable Care Act), has substantially changed the way healthcare is financed by both governmental and private insurers, and has significantly impacted the pharmaceutical industry. The Affordable Care Act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w:t>
      </w:r>
    </w:p>
    <w:p>
      <w:pPr>
        <w:spacing w:after="0" w:line="3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Certain provisions of the Affordable Care Act have been subject to judicial challenges as well as efforts to modify them or to alter their interpretation and implementation. For example, the Tax Cuts and Jobs Act eliminated the tax-based shared responsibility payment for individuals who fail to maintain minimum essential coverage under section 5000A of the Internal Revenue Code of 1986, commonly referred to as the individual mandate. Additional legislative changes, regulatory changes, and judicial challenges related to the Affordable Care Act remain possible. It is unclear how efforts to modify or invalidate the Affordable Care Act or its implementing regulations, or portions thereof, will affect our business. Any such changes could decrease the number of individuals with health coverage. It is possible that the Affordable Care Act, as currently enacted or as it may be amended in the future, and other healthcare reform measures, including those that may be adopted in the future, could have a material adverse effect on our industry generally and on our ability to successfully commercialize our product candidates, if approved.</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other legislative changes have been proposed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Sequestration is currently set at 2% and will increase to 2.25% for the first half of fiscal year 2030, to 3% for the second half of fiscal year 2030, and to 4% for the remainder of the sequestration period that lasts through the first six months of fiscal year 2031. As long as these cuts remain in effect, they could adversely impact payment for any of our products that are reimbursed under Medicare, once commercialized.</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the IRA, among other things, established a Medicare Part B and Part D inflation rebate scheme, under which, generally, manufacturers will owe rebates if the average sales price of certain Part B drugs or annual average manufacturer price of certain covered Part D drugs increases faster than the pace of inflation. The IRA further makes several changes to the Medicare Part D benefit, including a limit on annual out-of-pocket costs, and replacement of the coverage gap discount program with a new manufacturer discount program beginning in 2025.</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the Affordable Care Act, IRA,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Regulation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regulations in the United States, we will be subject to a number of significant regulations in other jurisdictions regarding research, clinical trials, approval, manufacturing, distribution,</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marketing and promotion, safety reporting, privacy and pricing and reimbursement. These requirements and restrictions vary from country to country, but in many instances are similar to the United States requirements, and failure to comply with them could have similar negative effects as noncompliance in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3" w:name="page34"/>
    <w:bookmarkEnd w:id="33"/>
    <w:p>
      <w:pPr>
        <w:jc w:val="both"/>
        <w:spacing w:after="0" w:line="270" w:lineRule="auto"/>
        <w:rPr>
          <w:sz w:val="20"/>
          <w:szCs w:val="20"/>
          <w:color w:val="auto"/>
        </w:rPr>
      </w:pPr>
      <w:r>
        <w:rPr>
          <w:rFonts w:ascii="Times New Roman" w:cs="Times New Roman" w:eastAsia="Times New Roman" w:hAnsi="Times New Roman"/>
          <w:sz w:val="14"/>
          <w:szCs w:val="14"/>
          <w:color w:val="auto"/>
        </w:rPr>
        <w:t>We, under the name Tekmira Pharmaceuticals Corporation (Tekmira), were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The Plan of Arrangement saw Inex’s entire business transferred to and continued by Tekmira.</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4, 2015, we completed a business combination pursuant to which OnCore Biopharma, Inc. became our wholly-owned subsidiary. Effective July 31, 2015, our corporate name changed from Tekmira Pharmaceuticals Corporation to Arbutus Biopharma Corporation. Also effective July 31, 2015, the corporate name of our wholly owned subsidiary, OnCore Biopharma, Inc. changed to Arbutus Biopharma, Inc. (Arbutus Inc.). We had two wholly owned subsidiaries: Arbutus Inc. and Protiva Biotherapeutics Inc. (Protiva). Effective January 1, 2018, Protiva was amalgamated with Arbutus and we had one wholly-owned subsidiary as of December 31, 2024: Arbutus Biopharma, Inc.</w:t>
      </w:r>
    </w:p>
    <w:p>
      <w:pPr>
        <w:spacing w:after="0" w:line="151"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4"/>
          <w:szCs w:val="14"/>
          <w:color w:val="auto"/>
        </w:rPr>
        <w:t>Our head office and principal place of business is located at 701 Veterans Circle, Warminster, Pennsylvania 18974 and our telephone number is (267) 469-0914. We maintain a website at www.arbutusbio.com. In the first quarter of 2025, our Board decided to exit our corporate headquarters in Warminster, PA.</w:t>
      </w:r>
    </w:p>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Information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a reporting issuer in Canada under the securities laws of each of the Provinces of Canada. Our common shares trade on the Nasdaq Global Select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Copies of this Annual Report on Form 10-K, and our other annual reports on Form 10-K, proxy statements, quarterly reports on Form 10-Q, current reports on Form 8-K and, if applicable, amendments to those reports filed or furnished pursuant to Section 13(a) or 15(d) of the Securities Exchange Act of 1934, as amended, are available free of charge through our website under “Investors – Financial Information – SEC Filings” as soon as reasonably practicable after we electronically file these materials with, or otherwise furnish them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Our Financial Results and Need for Additional Capital</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involved in multiple patent infringement lawsuits in multiple jurisdictions to protect and assert our intellectual property rights against large, well-capitalized companies, which requires that we continue to expend substantial resources, and we may not be successful in these proceedings.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currently involved in patent infringement lawsuits in multiple jurisdictions against Moderna and Pfizer/BioNTech, which are large, well-capitalized companies. These lawsuits have been ongoing for years and have required substantial investments of resources. We anticipate that these proceedings will continue to require similar investments over an extended period of time. Each of the proceedings is subject to substantial uncertainty regarding their outcomes, which is highly dependent upon specific factual matters and legal interpretations. We believe that it is critical to our future success to continue to pursue these actions, and we intend to do so. Each action will result in court rulings and decisions about significant issues, such as claim construction, patent validity, infringement, jurisdiction and other matters, almost all of which are subject to an appeal process that are typically lengthy and unpredictable in terms of outcome. Moreover, the ruling or decision in one proceeding is not necessarily indicative of rulings or decisions that may be issued in another proceeding, even if the factual and legal matters are similar. We expect that various courts will issue significant rulings in several of our proceedings within the next year, and the disclosure of those rulings may cause substantial volatility in our share price and could impact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in the early stages of our development, and there is a limited amount of information about us upon which you can evaluate our product candidates.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not begun to market or generate revenues from the commercialization of any of our product candidates. We have only a limited history upon which you can evaluate our business and prospects as our product candidates are still at an early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continue the development of our cHBV programs, we would need to successfully:</w:t>
      </w:r>
    </w:p>
    <w:p>
      <w:pPr>
        <w:spacing w:after="0" w:line="13"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development activities using technologies involved in the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maintain and protect a strong intellectual property portfolio;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regulatory approval and market acceptance for the commercialization of any product candidates we develop;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sales and marketing activities if any of our product candidates are approved;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maintain successful strategic relationships;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our spending and cash requirements to support our clinical trials, regulatory approvals, commercialization and the maintaining of our intellectual property portfolio.</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unsuccessful in accomplishing these objectives, we may not be able to develop our product candidates, raise capital, expand our business or continue our operations. The approach we are taking to discover and develop novel product candidates is unproven and may never lead to marketable products.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concentrating and intend to continue to concentrate our internal development efforts primarily on the development of product candidates targeting cHBV infection to ultimately develop a functional curative combination regimen. Our future success depends in part on the successful development of these product candidates. Our approach to the treatment of HBV is unproven, and we do not know whether we will be able to develop any products of commercial value.</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is no known functional cure for HBV. Any compounds that we develop may not effectively address HBV persistence. Even if we are able to develop compounds that address one or more of the key factors in the HBV life cycle (e.g., HBV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4"/>
          <w:szCs w:val="14"/>
          <w:color w:val="auto"/>
        </w:rPr>
        <w:t>replication, HBsAg expression and immune reactivation), targeting these key factors has not been proven to functionally cure HBV. If we cannot develop compounds to achieve our goal of functionally curing HBV internally, we may be unable to acquire additional product candidates on terms acceptable to us, or at all. Even if we are able to acquire or develop product candidates that address one of these mechanisms of action in preclinical studies, we may not succeed in demonstrating safety and efficacy of the product candidate in clinical trials. If we are unable to identify suitable compounds for preclinical and clinical development, we will not succeed in realizing our goal of a functional curative combination regimen for HBV.</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require substantial additional capital to fund our operations. Additional funds may be dilutive to shareholders or impose operational restrictions. Further, if additional capital is not available, we may need to delay, limit or eliminate our development and commercialization programs and modify our business strategy.</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sources of liquidity are cash, cash equivalents and investments in marketable securities, which were $122.6 million as of December 31, 2024. Within the next several years and subject to the results of our review of our pipeline and development plans for our hepatitis B programs, substantial additional funds would be required to continue with the active development of our pipeline product candidates and technologies. In particular, our funding needs may vary depending on a number of factors including:</w:t>
      </w:r>
    </w:p>
    <w:p>
      <w:pPr>
        <w:spacing w:after="0" w:line="8"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the review of our pipeline and development plans for our hepatitis B programs;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prosecuting and enforcing our patent claims and other intellectual property rights, including our ongoing patent infringement matters against Moderna and Pfizer/BioNTech;</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earned from our licensing partners, including Alnylam, Qilu and Acuitas;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or form licensing arrangements to advance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additional product candidates or technology for development;</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product candidates and technological and market developments.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raise additional capital through the issuance of equity securities, the percentage ownership of our current shareholders will be reduced. In addition, we may issue equity as part of the consideration to our licensors, to compensate consultants or to settle outstanding payables, all of which could cause our shareholders to experience additional dilution in net book value per share. Any such additional equity securities may have rights, preferences and privileges senior to those of the holders of our common shares.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unable to raise additional capital in sufficient amounts or on terms acceptable to us, we will need to curtail and reduce our operations and costs, and modify our business strategy which may require us to,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6" w:name="page37"/>
    <w:bookmarkEnd w:id="36"/>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delay, scale back or discontinue the development or commercialization of one or more of our product candidates;</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collaborators for one or more of our product candidates at an earlier stage than otherwise would be desirable or on terms that are less favorable than might otherwise be available;</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license on unfavorable terms our rights to one or more of our technologies or product candidates that we otherwise would seek to develop or commercialize ourselves;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 sale of the Company or cease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losses in nearly every year since our inception and we anticipate that we will not achieve profits for the foreseeable future. To date, we have had no product revenues.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the exception of the years ended December 31, 2006 and December 31, 2012, we have incurred losses each fiscal year since inception through the year ended December 31, 2024 and have not received any revenues other than from research and development collaborations, royalties, license fees and milestone payments. From inception to December 31, 2024, we have an accumulated net deficit of approximately $1.3 billion. Investment in drug development is highly speculative because it entails substantial upfront capital expenditures and significant risk that a product candidate will fail to gain regulatory approval or become commercially viable. We continue to incur significant expenses related to our ongoing operations, including development of our product candidates. We do not expect to achieve profits until such time as product sales, milestone payments and royalty payments, if any, generate sufficient revenues to fund our continuing operations. We cannot predict if we will ever achieve profitability and, if we do, we may not be able to remain consistently profitable or increase our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continue to incur significant expenses and operating losses for the foreseeable future. We anticipate that our expenses will continue to be significant if and as we:</w:t>
      </w:r>
    </w:p>
    <w:p>
      <w:pPr>
        <w:spacing w:after="0" w:line="41"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clinical development of our products candidates;</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additional clinical trials or other studies or trials for our product candidates;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our licensing arrangements with our licensing partners;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or add additional manufacturers or suppliers;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 candidates for which we may obtain regulatory approval;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other product candidates and technologies;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additional infrastructure to support our product development and planned future commercialization efforts;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issues with any of the above.</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net losses we incur may fluctuate significantly from quarter to quarter and year to year, such that a period-to-period comparison of our results of operations may not be a good indication of our future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generate revenues from product sales and may never be profitable.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generate revenue and achieve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8"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clinical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and obtaining regulatory approvals for product candidates for which we complete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sustainable, scalable, reproducible, and transferable manufacturing process for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ind w:left="520" w:hanging="260"/>
        <w:spacing w:after="0" w:line="266"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and commercializing product candidates for which we obtain regulatory approval, either by collaborating with partners or, if launched independently, by establishing a sales force, marketing, sales operations and distribution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7" w:name="page38"/>
    <w:bookmarkEnd w:id="37"/>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market acceptance of our product candidates for which we obtain regulatory approval as viable treatment options;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competing technological and market developments;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internal systems and infrastructure, as needed;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validating new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favorable terms in any collaboration, licensing or other arrangements into which we may enter;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protecting and expanding our portfolio of intellectual property rights, including patents, trade secrets and know-how;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attracting, hiring and retaining qualified personnel.</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Regulatory Approval, Marketing, and Coverage and Reimbursement of our Product Candidates</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development programs are at an early stage of development. We must demonstrate our product candidates’ safety and efficacy in humans through extensive clinical testing, which is expensive and time-consuming and requires specialized knowledge and expertise.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Clinical trials are also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157"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the review of our pipeline and development plans for our hepatitis B programs;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with the FDA or other regulatory authorities outside the United States on the design of a given trial, or in obtaining authorization to commence a trial;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on acceptable terms with prospective CROs and clinical trial sites;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approval of an IRB or ethics committees before a clinical trial can be initiated at a given site;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sites from our clinical trials, including as a result of changing standards of care or the ineligibility of a site to participate;</w:t>
      </w: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recruiting and enrolling subjects in our clinical trials;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having subjects complete a clinical trial or return for post-treatment follow up;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or investigators deviating from trial protocol, failing to conduct the trial in accordance with applicable regulatory requirements, or dropping out of a trial;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and maintain a sufficient number of trial sites;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CROs to meet their contractual obligations or deadlines;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modify a trial protocol;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safety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emergence of dosing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effectiveness data during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of the indication being studied;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8" w:name="page39"/>
    <w:bookmarkEnd w:id="38"/>
    <w:p>
      <w:pPr>
        <w:ind w:left="520" w:hanging="260"/>
        <w:spacing w:after="0" w:line="26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suppliers for the clinical trial supply of product candidates and failure by our third-party suppliers to comply with regulatory requirements or meet their contractual obligations to us in a timely manner, or at all;</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monitor subjects adequately during or after treatment;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or our CROs’ ability to access and verify clinical trial data captured at clinical trial sites through monitoring and source document verification;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sufficient funding to finance the clinical trials;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administrative action.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occurrences may harm our business, financial condition, results of operations, cash flows and prospects significantly.</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1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demonstrate greater promise in terms of clinical and commercial success. If we make resource allocation decisions that later are shown to be inaccurate, our business and prospects could be harmed.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Several of our current clinical trials are being conducted outside the United States, and the FDA may not accept data from trials conducted in locations outside the United States.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Several of our current clinical trials are being conducted outside the United States and we may conduct further clinical trials outside the United States in the future. We are currently conducting clinical trials in the United States, Moldova, Taiwan, South Korea, Hong Kong, the United Kingdom, Romania, Singapore, Italy, Canada, Ukraine, Australia and New Zealand, among other countries. To the extent we do not conduct these clinical trials under an IND, the FDA may not accept data from such trials. Although the FDA may accept data from clinical trials conducted outside the United States that are not conducted under an IND, the FDA’s acceptance of these data is subject to certain conditions. For example, the clinical trial must be well designed and conducted and performed by qualified investigators in accordance with ethical principles. The trial population must also adequately represent the United States population, and the data must be applicable to the United States population and United States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Before we can commercialize our product candidates in the United States, we must obtain approval from the FDA. We must similarly obtain approvals from comparable regulatory authorities to commercialize our product candidates in jurisdictions outside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obtain marketing approval, United States laws require:</w:t>
      </w:r>
    </w:p>
    <w:p>
      <w:pPr>
        <w:spacing w:after="0" w:line="51"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research and human clinical testing that comply with GLP and GCP, as applicable;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the safety and efficacy of the product for each use sought;</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review and approval of a submission containing, among other things, manufacturing, preclinical and clinical data;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GMP regulations.</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process of reviewing and approving a drug is time-consuming, unpredictable, and dependent on a variety of factors outside of our control. The FDA and corresponding regulatory authorities in jurisdictions outside the United States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242"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the design or implementation of our clinical trials;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our product candidates are safe and effective for the proposed indication;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clinical trial results to meet the level of statistical significance required for approval;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the product candidates’ benefits outweigh its’ risks;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our interpretation of preclinical or clinical data;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inadequacies in the manufacturing facilities or processes of third-party manufacturers.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or comparable regulatory authorities outside the United States may require us to conduct additional preclinical and clinical testing, which may delay or prevent approval of a product candidate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0" w:name="page41"/>
    <w:bookmarkEnd w:id="40"/>
    <w:p>
      <w:pPr>
        <w:jc w:val="both"/>
        <w:spacing w:after="0" w:line="287" w:lineRule="auto"/>
        <w:rPr>
          <w:sz w:val="20"/>
          <w:szCs w:val="20"/>
          <w:color w:val="auto"/>
        </w:rPr>
      </w:pPr>
      <w:r>
        <w:rPr>
          <w:rFonts w:ascii="Times New Roman" w:cs="Times New Roman" w:eastAsia="Times New Roman" w:hAnsi="Times New Roman"/>
          <w:sz w:val="14"/>
          <w:szCs w:val="14"/>
          <w:color w:val="auto"/>
        </w:rPr>
        <w:t>contingent upon our conducting costly post-marketing studies. Any of these scenarios could materially harm the commercial prospects of a product candidate, and our operations will be adversely effected.</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including due to a reduction in the FDA’s workforce and/or inadequate funding for the FDA, could prevent the FDA from performing normal functions on which our business relies, which could negatively impact our business.</w:t>
      </w:r>
    </w:p>
    <w:p>
      <w:pPr>
        <w:spacing w:after="0" w:line="1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ability of the FDA to review and approve new products or review other regulatory submissions can be affected by a variety of factors, including statutory, regulatory and policy changes, inadequate government budget and funding levels, a reduction in the FDA’s workforce and its ability to hire and retain key personnel. Disruptions at the FDA and other agencies may also increase the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time to meet with and receive agency feedback ,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the FDA and other related government agencies. For example, the current presidential administration recently established the Department of Government Efficiency, which implemented a federal government hiring freeze and announced certain additional efforts to reduce federal government employee headcount and the size of the federal government. It is unclear how these executive actions or other potential actions by the presidential administration or other parts of the federal government will impact the FDA or other regulatory authorities that oversee the product development portion</w:t>
      </w:r>
    </w:p>
    <w:p>
      <w:pPr>
        <w:spacing w:after="0" w:line="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our business. These budgetary pressures may reduce the FDA’s ability to perform its responsibilities.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marketing of our products, if approved, which could have a material adverse effect on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 particular product candidate causes undesirable side effects, then we may be unable to receive regulatory approval of or commercialize such product candidate.</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subject recruitment, retention, and adherence, potential product liability claims, and possible termination by health authorities. These types of clinical trial challenges could in turn, delay or prevent regulatory approval of our product candidate. Side effects may also lead regulatory authorities to require stronger product warnings on the product label, costly post-marketing studies, and/or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business, including our results of operations and financial position. Even if one or more of our product candidates receives marketing approval, undesirable side effects may limit such product’s commercial viability. Patients may not wish to use our product, physicians may not prescribe our product, and our reputation may suffer. Any of these events may significantly harm our business and financial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find it difficult to enroll patients in our clinical trials, which could delay or prevent clinical trials of our product candidates.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not be able to identify, recruit and enroll a sufficient number of patients, or those with required or desired characteristics to achieve diversity in a clinical trial, or complete our clinical trials in a timely manner. Subject enrollment is affected by a variety of factors including, among others:</w:t>
      </w:r>
    </w:p>
    <w:p>
      <w:pPr>
        <w:spacing w:after="0" w:line="145"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of the disease under investigation;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of the trial protocol;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prevalence of the disease/size of the patient population;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eligibility criteria for the clinical trial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1" w:name="page42"/>
    <w:bookmarkEnd w:id="41"/>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perceived risks and benefits of the product candidate under study;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willingness or availability of patients to participate in the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proximity and availability of clinical trial sites for prospective patients;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recruit clinical trial investigators with the appropriate competencies and experience;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competing therapies and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facilitate timely enrollment in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obtain and maintain subject consents;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that patients enrolled in clinical trials will drop out of the trials before completion;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monitor patients adequately during and after treatment.</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patients are unwilling to participate in our clinical trials, the timeline for recruiting patients, conducting clinical trials and obtaining regulatory approval of potential products may be delayed. These delays could result in increased costs, delays in advancing or testing our product candidates or termination of the clinical trials altogether.</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25, 2023, we announced that we were notified via verbal communication from the FDA that our AB-101 IND application had been placed on clinical hold, meaning we must suspend any ongoing clinical investigation in the United States, may not recruit subjects to the clinical trial in the United States, and may not administer AB-101 to any subjects in the United States. For purposes of clarity, the Phase 1 clinical trial in the United States had not been initiated and we had not dosed any patients with AB-101. In May 2023, we received the clinical hold letter from the FDA, which raised questions about certain preclinical data and aspects of the clinical trial design. In July 2023, Medsafe approved our CTA application for a Phase 1 clinical trial in New Zealand for AB-101; however, there are no assurances that FDA will accept the results of such clinical trial and may require us to conduct an additional Phase 1 clinical trial or additional nonclinical studies. If the FDA does not accept the results of our Phase 1 clinical trial in New Zealand for AB-101 or requires us to conduct additional trials or studies, it may take a considerable period of time, the length of which is not certain at this time, and expense for us to fully address the FDA’s concerns. Even if we are able to fully respond to the FDA’s current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our AB-101 clinical program in the United States, which could have a material adverse effect on our business and financial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and planned clinical trials may be impacted as a result of the military action by Russia in Ukraine.</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February 2022, Russia commenced a military invasion of Ukraine. Our Phase 1 clinical trial for AB-101 (AB-101-001) has a clinical trial site in Ukraine. The military action in Ukraine could disrupt our ongoing AB-101-001 clinical trial and could increase our costs and disrupt future planned clinical development activities.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Although the length and impact of Russia’s military action is highly unpredictable, actions by Russia, or potentially other countries, against Ukraine and surrounding areas may adversely affect our ability to adequately conduct our ongoing AB-101-001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our clinical trial site in Ukraine for monitoring or to obtain data from such site or subjects going forward. We could also experience disruptions in our supply chain or limits to our ability to provide sufficient investigational materials in Ukraine. Alternative sites to fully and timely compensate for our clinical trial activities in Ukraine may not be available and we may need to find other countries to conduct our AB-101-001 clinical trials. If our AB-101-001 clinical trial is interrupted, our clinical development plans for AB-101 could be significantly delayed, which would increase our costs, slow down our AB-101 development and approval process and jeopardize our ability to commence product sales and generate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our product candidates obtain regulatory approval, they will remain subject to ongoing regulatory requirements and oversight.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GMP and GCP requirements for any clinical trials that we conduct post-approval. If we or any of the third parties on which we rely fail to meet those requirements, the FDA or comparable regulatory authorities outside the United States could initiate enforcement actions.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 the United States and state governments have shown significant interest in establishing cost containment measures to limit the growth of government-paid health care costs, including price controls, restrictions on reimbursement, and requirements for substitution of generic products for branded prescription drugs. For example, the Patient Protection and Affordable Care Act, as amended (the ACA), intended to reduce the cost of health care, and it has substantially changed the way health care is financed by both government and private insurers. While we cannot predict with certainty what impact on federal and other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Legislative changes to and regulatory changes under the ACA remain possible, but the nature and extent of such potential additional changes are uncertain at this time. Further, the Inflation Reduction Act (IRA), among other things, established Medicare Part B and Part D inflation rebate schemes under which, generally, manufacturers will owe rebates if the average sales price of certain Part B drugs, or the average manufacturer price of certain covered Part D drugs, increases faster than the pace of inflation, and a drug price negotiation program under which the prices for certain Medicare units of certain high Medicare spend drugs and biologics without generic or biosimilar competition will be capped by reference to, among other things, a specified non-federal average manufacturer price, beginning in 2026. We expect that the ACA, its implementation, efforts to modify or invalidate the ACA, or portions thereof, the IRA, and other healthcare reform measures, including those that may be adopted in the future, could have a material adverse effect on our industry generally and on our ability to successfully commercialize our product candidates, if approved. Additionally, individual states in the United States have passed legislation and implemented regulations designed to control pharmaceutical and biological product pricing, including sometimes establishing Prescription Drug Affordability Boards (or similar entities) to review high-cost drugs and, in some cases, set upper payment limits and implementing marketing cost disclosure and transparency measures.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marketability of any products for which we receive regulatory approval for commercial sale may suffer if the United States or other government and third-party payors fail to provide adequate coverage and reimbursement. In addition, cost containment measures in the United States has been an area of increasing emphasis, and we expect they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adopted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from other biotechnology and pharmaceutical companies targeting HBV.</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 significant unmet medical need exists for HBV, there are several large and small pharmaceutical companies focused on delivering therapeutics for treatment of HBV. These companies include, but are not limited to Vir Biotechnology, GlaxoSmithKline, Gilead Sciences, Assembly, Aligos Therapeutics, Bluejay Therapeutics, Inc., AusperBio Therapeutics, Inc. and Brii Biosciences Ltd. Further, in addition to current investigational therapeutics in development, it is likely that additional drugs will become available in the future for the treatment of HBV.</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Many of our existing or potential competitors have substantially greater financial, technical and human resources than we do and significantly greater experience in the discovery and development of product candidates, as well as in obtaining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3" w:right="319"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14"/>
          <w:szCs w:val="14"/>
          <w:color w:val="auto"/>
        </w:rPr>
        <w:t>approvals of those product candidates in the United States and other countries. Many of our current and potential future competitors also have significantly more experience commercializing drugs that have been approved for marketing.</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anticipate significant competition in the HBV market, with several early and late phase product candidates announced.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successfully develop product candidates, and obtain approval for them, we will face competition based on many different factors, including the following:</w:t>
      </w:r>
    </w:p>
    <w:p>
      <w:pPr>
        <w:spacing w:after="0" w:line="200"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effectiveness of our products;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with which our products can be administered and the extent to which patients and physicians accept new routes of administration;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scope of regulatory approvals for these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manufacturing, marketing and sales capabilities;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coverage;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position and regulatory exclusivities.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and commercialize obsolete or uncompetitive before we can recover the expenses of developing and commercializing such products. Such competitors could also recruit our employees, which could negatively impact our level of expertise and the ability to execute on our business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largely dependent on the future commercial success of our HBV product candidates.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generate revenues and become profitable will depend in large part on the future commercial success of our HBV product candidates, if approved. If any product that we commercialize in the future does not gain an adequate level of acceptance among physicians, patients and third parties, or our estimates of the number of people who have cHBV infection are lower than expected, we may not generate significant product revenues or become profitable. Market acceptance by physicians, patients and third-party payors of the products we may commercialize will depend on a number of factors, some of which are beyond our control, including:</w:t>
      </w:r>
    </w:p>
    <w:p>
      <w:pPr>
        <w:spacing w:after="0" w:line="162"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efficacy, safety and other potential advantages in relation to alternative treatments;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relative convenience and ease of administration in relation to alternative treatments;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adequate coverage or reimbursement by third parties, such as insurance companies and other healthcare payors, and by government healthcare programs, including Medicare and Medicaid;</w:t>
      </w: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adverse events;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cost of treatment in relation to alternative treatments, including generic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our third-party manufacturer and supplier support;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marketing and distribution support;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limitations or warnings contained in a product’s approved labeling;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and use restrictions imposed by the FDA or other regulatory authorities outside the United States or that are part of a REMS or voluntary risk management plan.</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example, even if our products have been approved by the FDA or comparable foreign regulatory authorities, physicians and patients may not immediately be receptive to them and may be slow to adopt them. If our products do not achieve an adequate level of acceptance among physicians, patients and third-party payors, we may not generate meaningful revenues and we may not become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liabilities and may be required to limit commercialization of our products in response to product liability lawsuits.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which is an example of just one possible product liability claim that may be brought against us.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Further,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may not be available for our product candidates, which could make it difficult for us to sell our products profitably.</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Market acceptance and sales of any products that we develop and receive approval for will depend in part on the extent to which reimbursement for these products and related treatments will be available from third-party payors, including government health administration authorities and private health insurers. Third-party payors decide which drugs they will pay for and establish reimbursement levels. Third-party payors often rely upon Medicare coverage policy and payment limitations in setting their own reimbursement policies. However, decisions regarding the extent of coverage and amount of reimbursement to be provided for each of our products will be made on a plan by 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primary trend in the United States healthcare industry and elsewhere is cost containment. Third-party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is not available, or is available only to limited levels, we may not be able to successfully commercialize any product candidates that we develop.</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45" w:name="page46"/>
    <w:bookmarkEnd w:id="4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United States and Canadian healthcare laws and regulations, which could expose us to criminal sanctions, civil penalties, contractual damages and reputational harm. fines, disgorgement, exclusion from participation in United States federal healthcare programs, curtailment or restricting of our operations and diminished profits and future earnings.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Healthcare providers, physicians and others will play a primary role in the recommendation and prescription of any products for which we obtain marketing approval. Our future arrangements with healthcare providers, patients and third-party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United States federal and state healthcare laws and regulations are described in further detail in the section entitled </w:t>
      </w:r>
      <w:r>
        <w:rPr>
          <w:rFonts w:ascii="Times New Roman" w:cs="Times New Roman" w:eastAsia="Times New Roman" w:hAnsi="Times New Roman"/>
          <w:sz w:val="14"/>
          <w:szCs w:val="14"/>
          <w:i w:val="1"/>
          <w:iCs w:val="1"/>
          <w:color w:val="auto"/>
        </w:rPr>
        <w:t>Government Regulation – Post-Approval Regulation</w:t>
      </w:r>
      <w:r>
        <w:rPr>
          <w:rFonts w:ascii="Times New Roman" w:cs="Times New Roman" w:eastAsia="Times New Roman" w:hAnsi="Times New Roman"/>
          <w:sz w:val="14"/>
          <w:szCs w:val="14"/>
          <w:color w:val="auto"/>
        </w:rPr>
        <w:t xml:space="preserve"> and include the following:</w:t>
      </w:r>
    </w:p>
    <w:p>
      <w:pPr>
        <w:spacing w:after="0" w:line="151" w:lineRule="exact"/>
        <w:rPr>
          <w:sz w:val="20"/>
          <w:szCs w:val="20"/>
          <w:color w:val="auto"/>
        </w:rPr>
      </w:pPr>
    </w:p>
    <w:p>
      <w:pPr>
        <w:jc w:val="both"/>
        <w:ind w:left="520" w:hanging="260"/>
        <w:spacing w:after="0" w:line="246"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162" w:lineRule="exact"/>
        <w:rPr>
          <w:rFonts w:ascii="Times New Roman" w:cs="Times New Roman" w:eastAsia="Times New Roman" w:hAnsi="Times New Roman"/>
          <w:sz w:val="14"/>
          <w:szCs w:val="14"/>
          <w:color w:val="auto"/>
        </w:rPr>
      </w:pPr>
    </w:p>
    <w:p>
      <w:pPr>
        <w:jc w:val="both"/>
        <w:ind w:left="520" w:hanging="260"/>
        <w:spacing w:after="0" w:line="246"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62" w:lineRule="exact"/>
        <w:rPr>
          <w:rFonts w:ascii="Times New Roman" w:cs="Times New Roman" w:eastAsia="Times New Roman" w:hAnsi="Times New Roman"/>
          <w:sz w:val="14"/>
          <w:szCs w:val="14"/>
          <w:color w:val="auto"/>
        </w:rPr>
      </w:pPr>
    </w:p>
    <w:p>
      <w:pPr>
        <w:ind w:left="520" w:hanging="260"/>
        <w:spacing w:after="0" w:line="25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liability for knowingly and willfully executing a scheme to defraud any healthcare benefit program,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and its implementing regulations also impose obligations on certain covered entity health care providers, health plans and health care clearinghouses as well as their business associates (e.g., persons or entities that create, receive, maintain, or transmit protected health information in connection with providing a specified service or performing a function on behalf of a covered entity).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337"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numerous federal and state laws and regulations that address privacy and data security, including state data breach notifications laws, state health information and/or genetic privacy laws, artificial intelligence laws passed in the United States, and federal and state consumer protection laws (e.g., Section 5 of the FTC Act, and the Health Breach Notification Rule, the CCPA, as amended by the CPRA), govern the collection, use, disclosure and protection of health-related and other personal information, many of which differ from each other in significant ways, thus complicating the compliance efforts. Compliance with these laws is difficult, constantly evolving, and time-consuming, and companies that do not comply with these laws may face government enforcement actions, civil and/or criminal penalties, or private action, as well as adverse publicity that could negatively affect our operating results and business;</w:t>
      </w:r>
    </w:p>
    <w:p>
      <w:pPr>
        <w:spacing w:after="0" w:line="16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activities outside of the United States implicate local and national data protection standards, impose additional compliance requirements and generate additional risks of enforcement for non-compliance. The European Union’s GDPR, including as implemented in the United Kingdom and other data protection, privacy and similar national, state/provincial and local laws, including the EU AI Act, may restrict the access, use, storage, disclosure or other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46" w:name="page47"/>
    <w:bookmarkEnd w:id="46"/>
    <w:p>
      <w:pPr>
        <w:ind w:left="520"/>
        <w:spacing w:after="0" w:line="287" w:lineRule="auto"/>
        <w:rPr>
          <w:sz w:val="20"/>
          <w:szCs w:val="20"/>
          <w:color w:val="auto"/>
        </w:rPr>
      </w:pPr>
      <w:r>
        <w:rPr>
          <w:rFonts w:ascii="Times New Roman" w:cs="Times New Roman" w:eastAsia="Times New Roman" w:hAnsi="Times New Roman"/>
          <w:sz w:val="14"/>
          <w:szCs w:val="14"/>
          <w:color w:val="auto"/>
        </w:rPr>
        <w:t>activities concerning patient health information abroad. Compliance efforts will likely be an increasing and substantial cost in the future. Compliance efforts will likely be an increasing and substantial cost in the future;</w:t>
      </w:r>
    </w:p>
    <w:p>
      <w:pPr>
        <w:spacing w:after="0" w:line="135" w:lineRule="exact"/>
        <w:rPr>
          <w:sz w:val="20"/>
          <w:szCs w:val="20"/>
          <w:color w:val="auto"/>
        </w:rPr>
      </w:pPr>
    </w:p>
    <w:p>
      <w:pPr>
        <w:jc w:val="both"/>
        <w:ind w:left="520" w:hanging="260"/>
        <w:spacing w:after="0" w:line="243"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Physician Payment Sunshine Act, being implemented as the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certain other practitioners, and teaching hospitals, as well as ownership and investment interests held in the company by physicians and their immediate family members;</w:t>
      </w:r>
    </w:p>
    <w:p>
      <w:pPr>
        <w:spacing w:after="0" w:line="164" w:lineRule="exact"/>
        <w:rPr>
          <w:rFonts w:ascii="Times New Roman" w:cs="Times New Roman" w:eastAsia="Times New Roman" w:hAnsi="Times New Roman"/>
          <w:sz w:val="14"/>
          <w:szCs w:val="14"/>
          <w:color w:val="auto"/>
        </w:rPr>
      </w:pPr>
    </w:p>
    <w:p>
      <w:pPr>
        <w:jc w:val="both"/>
        <w:ind w:left="520" w:hanging="260"/>
        <w:spacing w:after="0" w:line="243"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reporting requirements under the Medicaid Drug Rebate Program and the 340B Program and with respect to average sales price reporting under the Medicare Part B program, and rebate or discount liability under the Medicaid Drug Rebate Program, the 340B Program, and Medicare Part D, with respect to which we could be subject to civil monetary penalties for a failure to comply with our reporting or rebate or discount obligations, or termination from the Medicaid Drug Rebate Program or 340B program, which, in turn, could jeopardize the availability of federal funds for our products under Medicaid and Medicare Part B;</w:t>
      </w:r>
    </w:p>
    <w:p>
      <w:pPr>
        <w:spacing w:after="0" w:line="164" w:lineRule="exact"/>
        <w:rPr>
          <w:rFonts w:ascii="Times New Roman" w:cs="Times New Roman" w:eastAsia="Times New Roman" w:hAnsi="Times New Roman"/>
          <w:sz w:val="14"/>
          <w:szCs w:val="14"/>
          <w:color w:val="auto"/>
        </w:rPr>
      </w:pPr>
    </w:p>
    <w:p>
      <w:pPr>
        <w:jc w:val="both"/>
        <w:ind w:left="520" w:hanging="260"/>
        <w:spacing w:after="0" w:line="248"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which, among other things, requires the United States Secretary of Health and Human Services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and</w:t>
      </w:r>
    </w:p>
    <w:p>
      <w:pPr>
        <w:spacing w:after="0" w:line="162" w:lineRule="exact"/>
        <w:rPr>
          <w:rFonts w:ascii="Times New Roman" w:cs="Times New Roman" w:eastAsia="Times New Roman" w:hAnsi="Times New Roman"/>
          <w:sz w:val="14"/>
          <w:szCs w:val="14"/>
          <w:color w:val="auto"/>
        </w:rPr>
      </w:pPr>
    </w:p>
    <w:p>
      <w:pPr>
        <w:jc w:val="both"/>
        <w:ind w:left="520" w:hanging="260"/>
        <w:spacing w:after="0" w:line="244"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 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United States federal healthcare programs, contractual damages, reputational harm, disgorgement, curtailment or restricting of our operations, any of which could substantially disrupt our operations and diminish our profits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 programs. The risk of our being found in violation of these laws is increased by the fact that many of them are subject to evolving interpretation and application by courts and enforcement and regulatory authorities.</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7" w:name="page48"/>
    <w:bookmarkEnd w:id="47"/>
    <w:p>
      <w:pPr>
        <w:jc w:val="both"/>
        <w:spacing w:after="0" w:line="264" w:lineRule="auto"/>
        <w:rPr>
          <w:sz w:val="20"/>
          <w:szCs w:val="20"/>
          <w:color w:val="auto"/>
        </w:rPr>
      </w:pPr>
      <w:r>
        <w:rPr>
          <w:rFonts w:ascii="Times New Roman" w:cs="Times New Roman" w:eastAsia="Times New Roman" w:hAnsi="Times New Roman"/>
          <w:sz w:val="14"/>
          <w:szCs w:val="14"/>
          <w:color w:val="auto"/>
        </w:rPr>
        <w:t>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w:t>
      </w:r>
    </w:p>
    <w:p>
      <w:pPr>
        <w:spacing w:after="0" w:line="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submit the required price data on a timely basis, or if we misclassify or misreport product information. CMS could also decide to terminate any Medicaid drug rebate agreement, in which case federal payments may not be available under Medicaid or Medicare Part B for our covered outpatient drugs, if commercialized.</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 (PBM) “accumulator” programs were invalidated by a court, such programs (including copayment “maximizer” programs) may continue to negatively affect us in other ways. Our failure to comply with these price reporting and rebate payment obligations could negatively impact our financial results.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covered entities more than the statutorily mandated ceiling price for any of our commercialized products, we could be subject to significant civil monetary penalties and/or such failure also could be grounds for HRSA to terminate our agreement to participate in the 340B program, in which case our covered outpatient drugs, once commercialized, would no longer be eligible for federal payment under the Medicaid or Medicare Part B program.</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 the IRA establishes a Medicare Part B and Part D inflation rebate scheme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Finally, in order to be eligible to have its products paid for with federal funds under the Medicaid and Medicare Part B programs and purchased by the Big Four Agencies and certain federal grantees, a manufacturer is required to participate in the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FCP, which is a price calculated pursuant to a statutory formula. The FCP is derived from a calculated price point called the Non-FAMP, which the manufacturer calculates and reports to the VA on a quarterly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4"/>
          <w:szCs w:val="14"/>
          <w:color w:val="auto"/>
        </w:rPr>
        <w:t>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license agreement with Alnylam for the commercialization of ONPATTRO™ (Patisiran).</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mid-single-digit royalty payments escalating based on sales performance and received our first royalty payment in the fourth quarter of 2018. In July 2019, we sold this royalty entitlement to OMERS, the defined benefit pension plan for municipal employees based in the Province of Ontario, Canada, effective as of January 1, 2019, for $20 million in gross proceeds before advisory fees. OMERS will retain this royalty entitlement until it has received $30 million in royalties, at which point 100% of this royalty entitlement on future global net sales of ONPATTRO will revert to us. From the inception of the royalty sale through December 31, 2024, an aggregate of $25.0 million of royalties have been collected by OMERS. The possibility and timing of any possible reversion of the royalty entitlement is affected by many factors including:</w:t>
      </w:r>
    </w:p>
    <w:p>
      <w:pPr>
        <w:spacing w:after="0" w:line="174"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Alnylam’s and its distributors’ and sublicensees’ ability and actions to effectively market and sell ONPATTRO in each country where sold;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sale, whether directly by Alnylam or by sublicensees or distributors, and the terms of sublicensing and distribution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9" w:name="page50"/>
    <w:bookmarkEnd w:id="49"/>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sales of Alnylam in each country;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approvals, appropriate labeling, and desirable pricing, insurance coverage and reimbursement;</w:t>
      </w:r>
    </w:p>
    <w:p>
      <w:pPr>
        <w:spacing w:after="0" w:line="8" w:lineRule="exact"/>
        <w:rPr>
          <w:rFonts w:ascii="Times New Roman" w:cs="Times New Roman" w:eastAsia="Times New Roman" w:hAnsi="Times New Roman"/>
          <w:sz w:val="14"/>
          <w:szCs w:val="14"/>
          <w:color w:val="auto"/>
        </w:rPr>
      </w:pPr>
    </w:p>
    <w:p>
      <w:pPr>
        <w:ind w:left="520" w:hanging="260"/>
        <w:spacing w:after="0" w:line="186" w:lineRule="auto"/>
        <w:tabs>
          <w:tab w:leader="none" w:pos="5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competition, including from Alnylam’s next generation RNAi product AMVUTTRA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(vutrisiran); and</w:t>
      </w: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marketing in additional countries.</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ONPATTRO sales have declined each of the last two years due primarily to sales from Alnylam’s next generation RNAi product AMVUTTRA cannibalizing sales of ONPATTRO. If Alnylam’s sales of ONPATTRO continue to decline, the royalty entitlement may never revert back to us.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we will depend in part on our licensing agreements with Alnylam and Qilu to provide revenue to partially fund our operations, especially in the near term. Furthermore, our strategy is to enter into various additional arrangements with corporate and academic collaborators, licensors, licensees and others for the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Qilu for the development and commercialization of imdusiran in China, Hong Kong, Macau and Taiwan.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December 2021, we entered into the License Agreement with Qilu, pursuant to which we granted Qilu an exclusive (except as to certain retained rights), sublicensable, royalty-bearing license, under certain intellectual property owned by us, to develop, manufacture and commercialize imdusiran in Greater China and Taiwan. The timing and amount of any milestone and royalty payments we may receive under the License Agreement will depend, in part, on the efforts of Qilu. We depend on Qilu to comply with all applicable laws relative to the development and commercialization of imdusiran in Greater China and Taiwan. Under the License Agreement, Qilu is required to use commercially reasonable efforts to develop, seek regulatory approval for, and commercialize at least one imdusiran product candidate in Greater China and Taiwan. Any failure by Qilu to use such commercially reasonable efforts could have a material adverse impact on financial results and operations. Additionally, if Qilu were to violate, or was alleged to have violated, any laws or regulations during the performance of its obligations to us, we could suffer financial and reputational harm or other negative outcomes. Any termination, breach or expiration of the License Agreement could also have a material adverse impact on our business by reducing or eliminating the potential for us to receive milestone and royalty payments. If that were to occur, we may be required to devote additional time, costs and attention to pursue the manufacture, development and commercialization of imdusiran in Greater China and Taiwan. In certain situations, Qilu has the ability to terminate the License Agreement and retain all rights to manufacture, develop and commercialize imdusiran in Greater China and Taiwan with no obligation to make any additional milestone or royalty payments to us.</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conflicts arise between our collaboration or licensing partners and us, our collaboration or licensing partners may act in their best interest and not in our best interest, which could adversely affect our business.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Conflicts may arise with our collaboration or licensing partners, including Alnylam and Qilu, if they pursue alternative therapies for the diseases that we have targeted or develop or prioritize alternative products either on their own or in collaboration with others. Competing products, either developed by our present collaboration or licensing partners or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partners or to which our present partners or any future partners have rights, may result in development delays or the withdrawal of their support for one or more of our product candidates.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the collaborative arrangement. Similarly, the parties to a licensing agreement may disagree as to which party owns newly developed products. If an agreement is terminated as a result of a dispute and before we have realized the benefits of the collaboration or licensing arrangement, our reputation could be harmed, and we might not obtain revenues that we anticipated receiving.</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otherwise, or if such third parties otherwise fail to meet deadlines or follow legal or regulatory requirements, our development plans may be delayed or terminated.</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any of our relationships with these third parties terminate, we may not be able to enter into arrangements with alternative third parties on commercially reasonable terms or at all. Switching or adding additional third-party service providers involves additional cost and requires management time and focus. In addition, there is a natural transition period when a new third-party service provider begins work. As a result, delays may occur, which can materially impact our ability to meet our desired development timelines.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limited experience in drug formulation or manufacturing, and we lack the resources and expertise to formulate or manufacture our own product candidates internally. Therefore, we rely on, and expect to continue to rely on, third-party expertise to support us in this area. We have entered into contracts with third-party manufacturers to manufacture, supply, store and distribute supplies of our product candidates for our clinical trials. If any of our product candidates receive approval, we expect to rely on third-party contractors to manufacture our products. We have no current plans to build internal manufacturing capacity for any product candidate, and we have no long-term supply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reliance on third-party manufacturers exposes us to potential risks, such as the following:</w:t>
      </w:r>
    </w:p>
    <w:p>
      <w:pPr>
        <w:spacing w:after="0" w:line="189" w:lineRule="exact"/>
        <w:rPr>
          <w:sz w:val="20"/>
          <w:szCs w:val="20"/>
          <w:color w:val="auto"/>
        </w:rPr>
      </w:pPr>
    </w:p>
    <w:p>
      <w:pPr>
        <w:ind w:left="520" w:hanging="260"/>
        <w:spacing w:after="0" w:line="268"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contract with third-party manufacturers on acceptable terms, or at all, because the number of potential manufacturers is limited. Potential manufacturers of any product candidate that is approved will be subject to regulatory compliance inspections and any new manufacturer would have to be qualified to produce our products;</w:t>
      </w:r>
    </w:p>
    <w:p>
      <w:pPr>
        <w:spacing w:after="0" w:line="1" w:lineRule="exact"/>
        <w:rPr>
          <w:rFonts w:ascii="Times New Roman" w:cs="Times New Roman" w:eastAsia="Times New Roman" w:hAnsi="Times New Roman"/>
          <w:sz w:val="14"/>
          <w:szCs w:val="14"/>
          <w:color w:val="auto"/>
        </w:rPr>
      </w:pPr>
    </w:p>
    <w:p>
      <w:pPr>
        <w:ind w:left="520" w:right="640" w:hanging="260"/>
        <w:spacing w:after="0" w:line="268"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might be unable to formulate and manufacture our product candidates and products in the volume and of the quality required to meet our clinical and commercial needs, if any;</w:t>
      </w:r>
    </w:p>
    <w:p>
      <w:pPr>
        <w:spacing w:after="0" w:line="1" w:lineRule="exact"/>
        <w:rPr>
          <w:rFonts w:ascii="Times New Roman" w:cs="Times New Roman" w:eastAsia="Times New Roman" w:hAnsi="Times New Roman"/>
          <w:sz w:val="14"/>
          <w:szCs w:val="14"/>
          <w:color w:val="auto"/>
        </w:rPr>
      </w:pPr>
    </w:p>
    <w:p>
      <w:pPr>
        <w:ind w:left="520" w:hanging="260"/>
        <w:spacing w:after="0" w:line="260"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spacing w:after="0" w:line="1"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manufacturers are subject to ongoing periodic unannounced inspection by the FDA and other government agencies to ensure compliance with cGMP and other government regulations and corresponding foreign standards.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4"/>
          <w:szCs w:val="14"/>
          <w:color w:val="auto"/>
        </w:rPr>
        <w:t>do not have control over third-party manufacturers’ compliance with these regulations and standards, but we may ultimately be responsible for any of their failures;</w:t>
      </w:r>
    </w:p>
    <w:p>
      <w:pPr>
        <w:spacing w:after="0" w:line="41" w:lineRule="exact"/>
        <w:rPr>
          <w:sz w:val="20"/>
          <w:szCs w:val="20"/>
          <w:color w:val="auto"/>
        </w:rPr>
      </w:pPr>
    </w:p>
    <w:p>
      <w:pPr>
        <w:ind w:left="520" w:hanging="260"/>
        <w:spacing w:after="0" w:line="255"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third-party manufacturer makes improvements in the manufacturing process for our product candidates, we may not own, or may have to share, the intellectual property rights to such improvements;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manufacturer may gain knowledge from working with us that could be used to supply one of our competitors with a product that competes with ours.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of these risks could delay or have other adverse impacts on our clinical trials and the approval and commercialization of our product candidates, potentially resulting in higher costs, reduced revenues or both.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companies or organizations may assert patent rights that prevent us from developing or commercializing our products.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RNAi and PD-L1 inhibitors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It is likely that there could be litigation and other proceedings, such as inter partes review and opposition proceedings in various patent offices, relating to patent rights in RNAi and PD-L1 inhibitors targeted at HBV. We are aware of patents and patent applications owned by third parties that may in the future be alleged by such third parties to cover the use of one or more of our products. We may need to acquire or obtain a license from such third parties to any such issued patents to market or sell any such products, which may not be available on commercially acceptable terms or at all. If such third parties obtain valid and enforceable patents and successfully prove infringement of an approved product of ours, and we are not able to acquire such issued patents or negotiate a license on acceptable terms, and if such approved product is determined to infringe any such issued patents, then we may be forced to pay royalties, damages and costs, or we may be prevented from commercializing such approved product altogether, which could have a material adverse impact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our patents and patent applications have been challenged and found to be invalid, and additional challenges may occur in the future, which could adversely affect our business.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USPTO or enforced by the United States federal courts. In addition, the coverage claimed in a patent application can be significantly reduced before a patent is issued. Also, we face at least the following intellectual property risks:</w:t>
      </w:r>
    </w:p>
    <w:p>
      <w:pPr>
        <w:spacing w:after="0" w:line="156" w:lineRule="exact"/>
        <w:rPr>
          <w:sz w:val="20"/>
          <w:szCs w:val="20"/>
          <w:color w:val="auto"/>
        </w:rPr>
      </w:pPr>
    </w:p>
    <w:p>
      <w:pPr>
        <w:ind w:left="500" w:hanging="240"/>
        <w:spacing w:after="0"/>
        <w:tabs>
          <w:tab w:leader="none" w:pos="50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some or all patent applications may not result in the issuance of a patent;</w:t>
      </w:r>
    </w:p>
    <w:p>
      <w:pPr>
        <w:spacing w:after="0" w:line="1" w:lineRule="exact"/>
        <w:rPr>
          <w:rFonts w:ascii="Arial" w:cs="Arial" w:eastAsia="Arial" w:hAnsi="Arial"/>
          <w:sz w:val="17"/>
          <w:szCs w:val="17"/>
          <w:color w:val="auto"/>
        </w:rPr>
      </w:pPr>
    </w:p>
    <w:p>
      <w:pPr>
        <w:ind w:left="500" w:hanging="240"/>
        <w:spacing w:after="0" w:line="208" w:lineRule="auto"/>
        <w:tabs>
          <w:tab w:leader="none" w:pos="50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 xml:space="preserve">patents issued </w:t>
      </w:r>
      <w:r>
        <w:rPr>
          <w:rFonts w:ascii="Times New Roman" w:cs="Times New Roman" w:eastAsia="Times New Roman" w:hAnsi="Times New Roman"/>
          <w:sz w:val="16"/>
          <w:szCs w:val="16"/>
          <w:color w:val="auto"/>
        </w:rPr>
        <w:t>to us</w:t>
      </w:r>
      <w:r>
        <w:rPr>
          <w:rFonts w:ascii="Times New Roman" w:cs="Times New Roman" w:eastAsia="Times New Roman" w:hAnsi="Times New Roman"/>
          <w:sz w:val="14"/>
          <w:szCs w:val="14"/>
          <w:color w:val="auto"/>
        </w:rPr>
        <w:t xml:space="preserve"> may not provide </w:t>
      </w:r>
      <w:r>
        <w:rPr>
          <w:rFonts w:ascii="Times New Roman" w:cs="Times New Roman" w:eastAsia="Times New Roman" w:hAnsi="Times New Roman"/>
          <w:sz w:val="16"/>
          <w:szCs w:val="16"/>
          <w:color w:val="auto"/>
        </w:rPr>
        <w:t>us</w:t>
      </w:r>
      <w:r>
        <w:rPr>
          <w:rFonts w:ascii="Times New Roman" w:cs="Times New Roman" w:eastAsia="Times New Roman" w:hAnsi="Times New Roman"/>
          <w:sz w:val="14"/>
          <w:szCs w:val="14"/>
          <w:color w:val="auto"/>
        </w:rPr>
        <w:t xml:space="preserve"> with any competitive advantages;</w:t>
      </w:r>
    </w:p>
    <w:p>
      <w:pPr>
        <w:ind w:left="500" w:hanging="240"/>
        <w:spacing w:after="0" w:line="206" w:lineRule="auto"/>
        <w:tabs>
          <w:tab w:leader="none" w:pos="50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patents could be challenged by third parties;</w:t>
      </w:r>
    </w:p>
    <w:p>
      <w:pPr>
        <w:spacing w:after="0" w:line="1"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competitors may find ways to design around our patents; and</w:t>
      </w:r>
    </w:p>
    <w:p>
      <w:pPr>
        <w:spacing w:after="0" w:line="1"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competitors could independently develop products which duplicate our products.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we could incur substantial costs in filing suits against others to have such patents declared invalid. As publication of discoveries in the scientific or patent literature often lags behind actual discoveries, we cannot be certain we were or any licensor was the first creator of inventions covered by pending patent applications or that we were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52" w:name="page53"/>
    <w:bookmarkEnd w:id="52"/>
    <w:p>
      <w:pPr>
        <w:ind w:right="300"/>
        <w:spacing w:after="0" w:line="271" w:lineRule="auto"/>
        <w:rPr>
          <w:sz w:val="20"/>
          <w:szCs w:val="20"/>
          <w:color w:val="auto"/>
        </w:rPr>
      </w:pPr>
      <w:r>
        <w:rPr>
          <w:rFonts w:ascii="Times New Roman" w:cs="Times New Roman" w:eastAsia="Times New Roman" w:hAnsi="Times New Roman"/>
          <w:sz w:val="14"/>
          <w:szCs w:val="14"/>
          <w:color w:val="auto"/>
        </w:rPr>
        <w:t>For example, in April 2023, following the institution of inter partes review of a patent in our LNP patent portfolio, such patent was found to be invalid. For more information on past and ongoing intellectual property challenges and litigation, see “Item 3—Legal Proceedings.”</w:t>
      </w:r>
    </w:p>
    <w:p>
      <w:pPr>
        <w:spacing w:after="0" w:line="14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may in the future continue to incur, substantial costs as a result of litigation or other proceedings relating to patent and other intellectual property rights, and we may not be successful in one or more of these lawsuits or proceedings, any of which could have a material adverse effect on our business, financial condition and results of operations and could cause the market value of our common shares to decline.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we continue to protect and defend our intellectual property rights, certain of which are the subject of ongoing lawsuits against Moderna and Pfizer/BioNTech for their use of our patented LNP technology in their COVID-19 mRNA-LNP vaccines. These lawsuits consume significant resources. Should we not be successful in one or more of these lawsuits, it could have a material adverse effect on our business, financial condition, and operating results and could cause the market value of our common shares to decline. For more information on past and ongoing intellectual property challenges and litigation, see “Item 3—Legal Proceedings.”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including collaborators, may not adequately prevent disclosure of trade secrets and other proprietary information</w:t>
      </w:r>
      <w:r>
        <w:rPr>
          <w:rFonts w:ascii="Times New Roman" w:cs="Times New Roman" w:eastAsia="Times New Roman" w:hAnsi="Times New Roman"/>
          <w:sz w:val="14"/>
          <w:szCs w:val="14"/>
          <w:i w:val="1"/>
          <w:iCs w:val="1"/>
          <w:color w:val="auto"/>
        </w:rPr>
        <w: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offer only limited protection, and as such may not effectively prevent disclosure of confidential information and also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Common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concentration of common share ownership will likely limit the ability of the other shareholders to influence corporate matters.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25, 2025, executive officers, directors, five percent or greater shareholders, and their respective affiliated entities beneficially owned, in the aggregate, approximately 44% of our outstanding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Entities associated with Roivant Sciences Ltd. (Roivant) collectively held as a group approximately 20% of our outstanding common shares as of March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3" w:name="page54"/>
    <w:bookmarkEnd w:id="53"/>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acquirer than other investors, or they may want us to pursue strategies that deviate from the interests of other shareholders. Such concentration of ownership control may also:</w:t>
      </w:r>
    </w:p>
    <w:p>
      <w:pPr>
        <w:spacing w:after="0" w:line="157"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defer or prevent a change in control;</w:t>
      </w:r>
    </w:p>
    <w:p>
      <w:pPr>
        <w:spacing w:after="0" w:line="3"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entrench our management and/or our Board; or</w:t>
      </w: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impede a merger, consolidation, takeover or other business combination involving us that other shareholders may desire.</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our insiders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2024, however recent changes to Treasury regulations under the Code have made this determination more challenging for us, and we cannot provide any assurances that we will not become a PFIC in the future.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articles and certain Canadian laws could delay or deter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54" w:name="page55"/>
    <w:bookmarkEnd w:id="54"/>
    <w:p>
      <w:pPr>
        <w:jc w:val="both"/>
        <w:spacing w:after="0" w:line="287" w:lineRule="auto"/>
        <w:rPr>
          <w:sz w:val="20"/>
          <w:szCs w:val="20"/>
          <w:color w:val="auto"/>
        </w:rPr>
      </w:pPr>
      <w:r>
        <w:rPr>
          <w:rFonts w:ascii="Times New Roman" w:cs="Times New Roman" w:eastAsia="Times New Roman" w:hAnsi="Times New Roman"/>
          <w:sz w:val="14"/>
          <w:szCs w:val="14"/>
          <w:color w:val="auto"/>
        </w:rPr>
        <w:t>Our preferred shares are available for issuance from time to time at the discretion of our Board, without shareholder approval. Our articles allow our Board, without shareholder approval, to determine the special rights to be attached to our preferred shares, and such rights may be superior to those of our common shares.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our new management team and Board of Directors, which is conducting a review of our pipeline and development plans for our hepatitis B programs.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first quarter of 2025, we announced the appointment of five new members of our Board to replace all of the former directors, as well as the appointment of a new President, Chief Executive Officer and Chairperson of our Board and a new Chief Financial Officer. Additionally, our Board took action to reduce our workforce by 57% resulting in a total workforce after reductions of 19 employees. Our Board also decided to exit our corporate headquarters in Warminster, PA and to discontinue in-house scientific research. Our new Board and management team are reviewing our pipeline and development plans for our hepatitis B programs. Our new management team and Board may make further adjustments and reassess our short and long-term business portfolio and development strategies. These potential changes could lead to shifts in our company’s strategic direction, which may impact our operations, financial condition, and overall business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face liability from our controlled use of hazardous and radioactive materials in our development processes.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use certain radioactive materials, biological materials and chemicals, including organic solvents, acids and gases stored under pressure, in our development activities. Our use of radioactive materials is regulated by the United States Nuclear Regulatory Commission and Pennsylvania Department of Environmental Protection for the possession, transfer, import, export, use, storage, handling and disposal of radioactive materials.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or penalized with fines, and any such liability could exceed our resources. We are not specifically insured with respect to this liability.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reputation, and operations could suffer in the event of information technology system failures, such as a cybersecurity incident.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critical operations. We depend on both our own systems, networks, and technology as well as the systems, networks and technology of our contractors, consultants, vendors and other business partners. Disruption, degradation, or manipulation of systems, networks or technology through intentional or accidental means could materially adversely impact key business processes. Despite the implementation of security measures, our systems, networks and technology and those of our contractors and consultants are vulnerable to damage or interruption from events including computer viruses, cyberattacks (including ransomware, malware attacks, unauthorized access attempts, and denial of service and other unintentional intrusions or malicious cyberattacks), social engineering (including phishing) or other fraudulent schemes, and other cybersecurity incidents, as well as natural disasters, terrorism, war, telecommunication and electrical failures. These threats may arise from persons inside our organization, authorized persons with access to systems inside our organization or those with whom we do business, or unauthorized individuals. The risk of a cyberattack or other cybersecurity incidents has generally increased as the number, intensity and sophistication of attempted attacks and intrusions from around the world have increased. Although to date the cybersecurity incidents we have experienced have not resulted in a material impact on us, such events impacting either our own systems, networks and technology, or those of our contractors, consultants, vendors, or other business partners could threaten the confidentiality, integrity and availability of our data or data upon which we rely, including regulated personal information, confidential information or intellectual property. This could result in unauthorized access to, loss of, or modification of critical data, the loss of Company funds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There can be no assurance that our efforts to protect data and systems will prevent service interruption or the loss of critical or sensitive information from our or third-party providers’ systems, networks and technologies. The cost and operational consequences of responding to cybersecurity incidents, including disruption, degradation, or manipulation of systems, networks or technology, or implementing remediation measures could be significant. Additionally, while we have implemented security measures that we believe are appropriate and continue to enhance cybersecurity protections, a regulator could deem our security measures not to be appropriate given the lack of prescriptive measures in certain data protection laws. Increased regulation of data collection, use and retention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6" w:name="page57"/>
    <w:bookmarkEnd w:id="56"/>
    <w:p>
      <w:pPr>
        <w:jc w:val="both"/>
        <w:spacing w:after="0" w:line="287" w:lineRule="auto"/>
        <w:rPr>
          <w:sz w:val="20"/>
          <w:szCs w:val="20"/>
          <w:color w:val="auto"/>
        </w:rPr>
      </w:pPr>
      <w:r>
        <w:rPr>
          <w:rFonts w:ascii="Times New Roman" w:cs="Times New Roman" w:eastAsia="Times New Roman" w:hAnsi="Times New Roman"/>
          <w:sz w:val="14"/>
          <w:szCs w:val="14"/>
          <w:color w:val="auto"/>
        </w:rPr>
        <w:t>including self-regulation and industry standards, changes in existing laws and regulations, enactment of new laws and regulations, increased enforcement activity, and changes in interpretation of laws, could increase our cost of compliance and operation, limit our ability to grow our business or otherwise harm our business.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the extent that any disruption or cybersecurity incident results or appears to result in such interruption or loss, we could incur material financial, legal, business or reputational harm, including regulatory fines, penalties, scrutiny, or intervention, or claims by third parties, including that we have breached privacy- or confidentiality-related obligations. A significant cybersecurity incident may also deter new clinical trial participants from participating in our trials. Furthermore, if our systems, networks, and technology, or those of third parties on which we rely, suffer severe damage, disruption or shutdown and our business continuity plans do not effectively resolve the issues in a timely manner, we could experience delays in reporting our financial results and the development of our product candidates could be delayed. Moreover, our insurance may not provide any or adequate coverage of any such losses. And, as cyberattacks increase in frequency and magnitude, we may be unable to obtain insurance in amounts and on terms we view as adequate for our operations.</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assets or businesses, or form strategic alliances or collaborations or make investments in other companies or technologies that could harm our financial condition, results of operations or cash flows, dilute our shareholders’ ownership, incur debt or cause us to incur significant expense.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part of our business strategy, we may pursue acquisitions of assets or businesses, or strategic alliances or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acquisition candidates, and if we make any acquisitions, we may not be able to integrate these acquisitions successfully into our existing business and we may incur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collaboration partners or identify other investment opportunities, and we may experience losses related to any such investments.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finance any acquisitions or collaborations, we may choose to issue debt or equity securities as consideration. Any such issuance of shares would dilute the ownership of our shareholders. If the price of our common shares is low or volatile, we may not be able to acquire other assets or businesses or fund a transaction using our equity securities as consideration. Alternatively, it may be necessary for us to raise additional capital for acquisitions through public or private financings. Additional capital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currently no unresolved staff comments.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key operations. We depend on both our own systems, networks, and technology as well as the systems, networks and technology of our contractors, consultants, vendors and other business partners.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Program</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Given the importance of cybersecurity to our business, we maintain a robust and comprehensive cybersecurity program to support both the effectiveness of our systems and our preparedness for information security risks. This program includes a number of administrative, physical and technical safeguards, with regular evaluations of our cybersecurity posture, including internal and external audits, as well as annual penetration tests. We also require cybersecurity training when onboarding new employees and contractors and on an annual basis thereafter. Our cybersecurity program leverages industry frameworks, including the National Institute of Standards and Technology (NIST) Cybersecurity Framework to strengthen our program effectiveness and reduce cybersecurity risks.</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 a risk-based approach with respect to our oversight of third-party service providers. As part of our process for onboarding new vendors, we assess new third-party service providers for technical capabilities, reputation, financial stability, pricing, and other criteria and such third-party service providers are reviewed and approved by our Finance and Legal departments. We have implemented processes to confirm that agreements with third-parties contain data security and privacy terms as appropriate. For certain key third-party service providers, we obtain a SOC type 2 audit report from the vendor’s audit firm which provides detailed information and assurance about a service organization’s security, availability, processing integrity, confidentiality and privacy controls.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Process for Assessing, Identifying and Managing Material Risks from Cybersecurity Threats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of a cybersecurity incident, we maintain a regularly tested Incident Management and Response program as well as business continuity and disaster recovery plans. Pursuant to the program and its escalation protocols, designated personnel are responsible for assessing the severity of an incident and associated threat and handling it in accordance with that severity level.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relationships with a number of third-party service providers to assist with cybersecurity evaluation, containment and remediation efforts.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controls and processes employed to assess, identify and manage material risks from cybersecurity threats are implemented and overseen by our Executive Director of IT and Information Security (ED, IT &amp; IS), who reports to our Chief Financial Officer. Our ED, IT &amp; IS has over 30 years of IT experience and an Advanced Graduate Certification in Cybersecurity. He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He provides regular briefings (quarterly at a minimum) to our Computer Security Incident Response Team consisting of the Chief Financial Officer and General Counsel/Chief Compliance Officer on cybersecurity matters, including threats, events, and program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color w:val="auto"/>
        </w:rPr>
        <w:t>Board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our Board of Directors has overall responsibility for risk oversight, our Audit Committee oversees cybersecurity risk matters. The Audit Committee is responsible for reviewing, discussing with management, and overseeing our data privacy, information technology and security and cybersecurity risk exposures. On at least an annual basis, the ED, IT &amp; IS reports to the Audit Committee on information security and cybersecurity matters, including significant information technology risks, significant threats (and the potential impact of those exposures on our business, financial results, operations and reputation) and the steps implemented by management to monitor and mitigate exposures. He also apprises the Audit Committee promptly of high priority cybersecurity incidents, consistent with our Incident Management and Response Policy, and provides updates to the full Board as needed.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assesses the top organizational risks for the Company on an annual basis. Our cybersecurity risk is a component of our overall organizational risk assessment. Management also performs a specific cybersecurity risk assessment based on the NIST cybersecurity risk framework. As part of our cybersecurity risk assessment, department leaders identify, assess and evaluate risks impacting our operations across the Company, including those risks related to cybersecurity. Department leaders are asked to consider the severity and likelihood of certain risk factors, drawing upon their company knowledge and past business experience. Our cybersecurity risk assessment helps to inform our risk mitigation strategies. While we maintain a robust cybersecurity program, the techniques used to infiltrate information technology systems continue to evolve. Accordingly, we may not be able to timely detect threats or anticipate and implement adequate security measures. For additional information, see “Item 1A—Risk Factors.”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maintain cybersecurity insurance providing coverage for certain costs related to cybersecurity-related incidents that impact our own systems, networks, and technology or the systems, networks and technology of our contractors, consultants, vendors and other business partners.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have not experienced any material risks from cybersecurity threats, including as a result of any previous cybersecurity incidents or threats, that have materially affected our business strategy, results of operations or financial condition or are reasonably likely to have such a material effect.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November 1, 2016, we have had a lease agreement for our headquarters at 701 Veterans Circle, Warminster, Pennsylvania. The building has approximately 35,000 square feet of laboratory facilities and office space. The lease expires on April 30, 2027. We also have the option of extending the lease for two further five-year terms. In the first quarter of 2025, our Board decided to exit our corporate headquarters in Warminster, PA.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February 14, 2023, the U.S. Department of Justice filed a Statement of Interest in the action. On February 16, 2023, the court held an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9" w:name="page60"/>
    <w:bookmarkEnd w:id="59"/>
    <w:p>
      <w:pPr>
        <w:jc w:val="both"/>
        <w:spacing w:after="0" w:line="257" w:lineRule="auto"/>
        <w:rPr>
          <w:sz w:val="20"/>
          <w:szCs w:val="20"/>
          <w:color w:val="auto"/>
        </w:rPr>
      </w:pPr>
      <w:r>
        <w:rPr>
          <w:rFonts w:ascii="Times New Roman" w:cs="Times New Roman" w:eastAsia="Times New Roman" w:hAnsi="Times New Roman"/>
          <w:sz w:val="14"/>
          <w:szCs w:val="14"/>
          <w:color w:val="auto"/>
        </w:rPr>
        <w:t>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w:t>
      </w:r>
    </w:p>
    <w:p>
      <w:pPr>
        <w:spacing w:after="0" w:line="1" w:lineRule="exact"/>
        <w:rPr>
          <w:sz w:val="20"/>
          <w:szCs w:val="20"/>
          <w:color w:val="auto"/>
        </w:rPr>
      </w:pPr>
    </w:p>
    <w:p>
      <w:pPr>
        <w:jc w:val="both"/>
        <w:ind w:firstLine="5"/>
        <w:spacing w:after="0" w:line="256" w:lineRule="auto"/>
        <w:tabs>
          <w:tab w:leader="none" w:pos="16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On August 5, 2024, we and Genevant, along with Moderna, filed the Stipulation with the court that requested an amended case schedule to accommodate certain outstanding discovery from Moderna and third parties. The court approved the amended case schedule and the start of the trial was moved from April 21, 2025 to September 24,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International:</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3, 2025, we and Genevant filed five international lawsuits against Moderna seeking to enforce patents protecting our patented lipid nanoparticle technology. These five lawsuits target alleged infringing activities by Moderna in 30 countries, including Austria, Belgium, Bulgaria, Denmark, Estonia, Finland, France, Germany, Greece, Hungary, Iceland, Ireland, Italy, Latvia, Lithuania, Luxembourg, Malta, Monaco, Netherlands, Norway, Poland, Portugal, Romania, Slovenia, Spain, Sweden, Switzerland, and Turkey. We and Genevant are seeking monetary relief and injunctions against Moderna’s COVID-19 vaccine and, where applicable, additional Moderna products, which Moderna has represented use the same lipid nanoparticle technology as the COVID-19 vaccine, including its RSV vaccine, which recently received regulatory approval in the U.S. and European Union. Where permitted to do so at this stage, we and Genevant submitted evidence from testing of commercial Moderna product samples sourced from the U.S. and European Union indicating the samples contain lipid nanoparticles falling under the protective scope of the claims of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lipid composition patents. The five international lawsuits are as follows:</w:t>
      </w:r>
    </w:p>
    <w:p>
      <w:pPr>
        <w:spacing w:after="0" w:line="115" w:lineRule="exact"/>
        <w:rPr>
          <w:sz w:val="20"/>
          <w:szCs w:val="20"/>
          <w:color w:val="auto"/>
        </w:rPr>
      </w:pPr>
    </w:p>
    <w:p>
      <w:pPr>
        <w:ind w:left="640" w:hanging="190"/>
        <w:spacing w:after="0" w:line="303" w:lineRule="auto"/>
        <w:tabs>
          <w:tab w:leader="none" w:pos="54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Federal Court of Canada File No. T-704-25, seeking a permanent injunction and damages or, if Genevant so elects, an accounting of Moderna’s profits, attributable to infringement of Canadian Patent No. 2,721,333.</w:t>
      </w:r>
    </w:p>
    <w:p>
      <w:pPr>
        <w:spacing w:after="0" w:line="49" w:lineRule="exact"/>
        <w:rPr>
          <w:rFonts w:ascii="Times New Roman" w:cs="Times New Roman" w:eastAsia="Times New Roman" w:hAnsi="Times New Roman"/>
          <w:sz w:val="14"/>
          <w:szCs w:val="14"/>
          <w:color w:val="auto"/>
        </w:rPr>
      </w:pPr>
    </w:p>
    <w:p>
      <w:pPr>
        <w:ind w:left="540" w:hanging="90"/>
        <w:spacing w:after="0"/>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 Tokyo District Court Case No. 2025 (Wa) 70079, seeking a permanent injunction and reasonable royalty for infringement of Japanese Patent No. 5,475,753.</w:t>
      </w:r>
    </w:p>
    <w:p>
      <w:pPr>
        <w:spacing w:after="0" w:line="125" w:lineRule="exact"/>
        <w:rPr>
          <w:rFonts w:ascii="Times New Roman" w:cs="Times New Roman" w:eastAsia="Times New Roman" w:hAnsi="Times New Roman"/>
          <w:sz w:val="14"/>
          <w:szCs w:val="14"/>
          <w:color w:val="auto"/>
        </w:rPr>
      </w:pPr>
    </w:p>
    <w:p>
      <w:pPr>
        <w:ind w:left="640" w:hanging="190"/>
        <w:spacing w:after="0" w:line="287" w:lineRule="auto"/>
        <w:tabs>
          <w:tab w:leader="none" w:pos="54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Switzerland: a case seeking a permanent injunction and monetary relief, which upon later choice of Genevant and Arbutus can include surrender of profits, damages or a reasonable royalty, for infringement of EP 2 279 254.</w:t>
      </w:r>
    </w:p>
    <w:p>
      <w:pPr>
        <w:spacing w:after="0" w:line="71" w:lineRule="exact"/>
        <w:rPr>
          <w:rFonts w:ascii="Times New Roman" w:cs="Times New Roman" w:eastAsia="Times New Roman" w:hAnsi="Times New Roman"/>
          <w:sz w:val="14"/>
          <w:szCs w:val="14"/>
          <w:color w:val="auto"/>
        </w:rPr>
      </w:pPr>
    </w:p>
    <w:p>
      <w:pPr>
        <w:ind w:left="640" w:hanging="190"/>
        <w:spacing w:after="0" w:line="287" w:lineRule="auto"/>
        <w:tabs>
          <w:tab w:leader="none" w:pos="54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Unified Patent Court (UPC): Case 10280/2025, seeking permanent and provisional injunctions, as well as monetary damages, which can include recovery of Moderna’s unfair profits, from infringement of EP 2 279 254.</w:t>
      </w:r>
    </w:p>
    <w:p>
      <w:pPr>
        <w:spacing w:after="0" w:line="71" w:lineRule="exact"/>
        <w:rPr>
          <w:rFonts w:ascii="Times New Roman" w:cs="Times New Roman" w:eastAsia="Times New Roman" w:hAnsi="Times New Roman"/>
          <w:sz w:val="14"/>
          <w:szCs w:val="14"/>
          <w:color w:val="auto"/>
        </w:rPr>
      </w:pPr>
    </w:p>
    <w:p>
      <w:pPr>
        <w:ind w:left="640" w:hanging="190"/>
        <w:spacing w:after="0" w:line="303" w:lineRule="auto"/>
        <w:tabs>
          <w:tab w:leader="none" w:pos="54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UPC: Case 10280/2025, seeking permanent and provisional injunctions, as well as monetary damages, which can include recovery of Moderna’s unfair profits, from infringement of EP 4 241 767.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five complaints are being served on Moderna pursuant to the service of process rules of the respective courts. To date, Moderna has not responded to any of the five international lawsuits.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4"/>
          <w:szCs w:val="14"/>
          <w:color w:val="auto"/>
        </w:rPr>
        <w:t>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certain court dates. The claim construction hearing occurred in December 2024. The court is expected to provide its ruling on the claim construction and issue a further scheduling order, including the date for trial, in 2025. Fact discovery in the action is ongoing.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Inter Partes Review Petition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Both parties appealed the Opposition Division’s decision and on March 21, 2025, the Board of Appeals scheduled oral proceedings for January 15 and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1" w:name="page62"/>
    <w:bookmarkEnd w:id="61"/>
    <w:p>
      <w:pPr>
        <w:jc w:val="both"/>
        <w:spacing w:after="0" w:line="287" w:lineRule="auto"/>
        <w:rPr>
          <w:sz w:val="20"/>
          <w:szCs w:val="20"/>
          <w:color w:val="auto"/>
        </w:rPr>
      </w:pPr>
      <w:r>
        <w:rPr>
          <w:rFonts w:ascii="Times New Roman" w:cs="Times New Roman" w:eastAsia="Times New Roman" w:hAnsi="Times New Roman"/>
          <w:sz w:val="14"/>
          <w:szCs w:val="14"/>
          <w:color w:val="auto"/>
        </w:rPr>
        <w:t>While we are the patent holder, the ‘127 Patent, the ‘254 Patent, the other patents in our LNP portfolio have been licensed to Genevant and are included in the rights licensed by us to Genevant under the Genevant License.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common shares trade on the Nasdaq Global Select Market under the symbol “ABUS”. As of March 25, 2025, there were 102 registered holders of common shares and 191,480,188 common shares issued and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securities authorized for issuance under equity compensation plans is incorporated by reference into the information in Part III, Item 12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Other than as previously disclosed on our Current Reports on Form 8-K or Quarterly Reports on Form 10-Q, we did not issue any unregistered equity securities during the twelve months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repurchase any of our equity securities during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focused on infectious disease. We are currently developing imdusiran (AB-729), our proprietary, conjugated GalNAc, subcutaneously-delivered RNAi therapeutic, and AB-101, our proprietary oral PD-L1 inhibitor, for the treatment of chronic hepatitis B (cHBV). Through our ownership stake in and our license to Genevant Sciences, Ltd (Genevant), we are also focused on maximizing opportunity for our in-house developed Lipid Nanoparticle (LNP) delivery technology. </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continue to protect and defend our intellectual property, which is the subject of our ongoing lawsuits against Moderna Therapeutics, Inc. (Moderna) and against Pfizer Inc. and BioNTech SE (collectively, Pfizer/BioNTech) for their use of our patented LNP delivery technology in their COVID-19 mRNA-LNP vaccines. With respect to the Moderna lawsuit in the United States, a trial date has been set for September 24, 2025. On March 3, 2025, we announced that, along with Genevant, we have filed five international lawsuits against Moderna in connection with their use of our LNP technology in their COVID-19 mRNA-LNP and RSV vaccines. With respect to the Pfizer/BioNTech lawsuit, the claim construction hearing occurred in December 2024. The court is expected to provide its ruling on the claim construction and issue a further scheduling order, including the date for trial, in 2025.</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2024, we streamlined the organization to focus our efforts on advancing the clinical development of imdusiran and AB-101, and therefore ceased all discovery efforts, discontinued our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resulting in a total workforce after reductions of 19 employees. Our Board also decided to exit our corporate headquarters in Warminster, PA and to discontinue in-house scientific research. In connection with these actions, we expect to incur a one-time restructuring charge in the first quarter of 2025 of approximately $11 million to $13 million.</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With these organizational changes and our ongoing cost management efforts, we expect to significantly reduce our net cash burn in 2025 when compared to 2024. Our new Board and management team are reviewing our pipeline and development plans for our hepatitis B programs. To assist with this review, we are currently retaining experts in virology, hepatitis B, and in the clinical development and approval of antiviral treatments. We expect to provide a further update once our review is complete.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maximizing opportunities for our cHBV development programs and our in-house developed LNP delivery technology.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LNP delivery technology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February 28, 2022 and April 4,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delivery technology, which has been licensed for various applications to many different third parties. Our and Genevant’s LNP technology relies on microscopic particles built from four carefully selected types of fat-like molecules to shelter and protect RNA molecules. With this technology, the RNA can travel through the human body to a target cell and through the target cell’s membrane before releasing the RNA. Without this crucial delivery technology, the RNA would quickly degrade in the body and be ineffective. We remain committed to taking all legal actions necessary to defend and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4"/>
          <w:szCs w:val="14"/>
          <w:color w:val="auto"/>
        </w:rPr>
        <w:t>With respect to the Moderna lawsuit, the claim construction hearing occurred on February 8, 2024. On April 3, 2024, the court provided its claim construction ruling in which it construed the disputed claim terms and agreed with our position on most of the disputed claim terms. A trial date for the Moderna lawsuit in the United States has been set for September 24, 2025. On March 3, 2025, we announced that, along with Genevant, we have filed five international lawsuits against Moderna in connection with their use of our LNP technology in their COVID-19 mRNA-LNP and RSV vaccines. With respect to the Pfizer/BioNTech lawsuit, the claim construction hearing occurred in December 2024. The court is expected to provide its ruling on the claim construction and issue a further scheduling order, including the date for trial,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cHBV programs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current HBV strategy is to develop a functional cure for patients with cHBV infection with imdusiran as a potential cornerstone in a combination therapy. We believe that a combination of compounds that can suppress hepatitis B virus deoxyribonucleic acid (HBV DNA) replication and hepatitis B surface antigen (HBsAg) expression as well as boost patients’ HBV-specific immune response could address the most important elements to achieving a functional cure. Functional cure is defined as sustained HBsAg loss and HBV DNA less than the lower limit of quantification 24 weeks off treatment, with or without anti-hepatitis B surface antibodies (anti-HBs). By providing a functional cure for patients with cHBV, we aim to prevent complications of disease progression, to decrease HBV burden by minimizing patient stigma and address the need for finite and more efficacious HBV treatments that further improve long-term outcomes and reduce associated healthcare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136525</wp:posOffset>
            </wp:positionV>
            <wp:extent cx="2910205" cy="1644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020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Over 250 patients with cHBV infection have been dosed with imdusiran in our Phase 1 and Phase 2a clinical trials. Data from our IM-PROVE I Phase 2a clinical trial showed that six doses of imdusiran and 24 weeks of pegylated interferon alfa-2α (IFN), a standard-of-care immunomodulator, added to ongoing nucleoside analogue (NA) therapy led to a functional cure rate of 50% (3/6) in HBeAg-negative patients with baseline HBsAg levels less than 1000 IU/mL, and an overall functional cure rate of 25% (3/12). Those patients that achieved a functional cure also seroconverted with high anti-HB levels. These data from the IM-PROVE I trial suggest that the combination of imdusiran, 24 weeks of IFN and ongoing NA therapy was generally safe and well-tolerated. We are reviewing our pipeline and development plans for our hepatitis B programs.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AB-101 is our proprietary oral PD-L1 inhibitor that has the potential to reawaken patients’ HBV-specific immune response by inhibiting PD-L1. AB-101 is currently in a Phase 1a/1b clinical trial (AB-101-001) evaluating the safety, tolerability, pharmacokinetics, and pharmacodynamics of single- and multiple-ascending oral doses in healthy subjects and patients with cHBV infection. Parts 1 and 2 of this clinical trial enrolled sequential cohorts of healthy subjects receiving single and multiple doses, respectively, of AB-101 at increasing dose levels. The data showed that AB-101 was generally well-tolerated with evidence of dose-dependent receptor occupancy. We have moved into Part 3 of this clinical trial which evaluates repeat doses of AB-101 for 28 days in patients with cHBV. Next steps for AB-101 will be determined after we complete our review of our pipeline and development plans for our hepatitis B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 and Royalty Entitlements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are payable on a product-by-product and region-by-region basis, subject to certain limitations.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Greater China and Taiwan. Qilu is required to use commercially reasonable efforts to develop, seek regulatory approval for, and commercialize at least one imdusiran product candidate in Greater China and Taiwan.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Greater China and Taiwan until we have completed manufacturing technology transfer to Qilu and Qilu has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and Acuitas Therapeutics, Inc</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 royalty entitlement on ONPATTRO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(Patisiran) (ONPATTRO), a drug developed by Alnylam Pharmaceuticals, Inc. (Alnylam) under a license agreement with us that incorporates our lipid nanoparticle delivery (LNP) technology. In July 2019, we received $20 million in gross proceeds before advisory fees from the sale of this royalty interest to Ontario Municipal Employees Retirement System (OMERS), effective as of January 1, 2019. The royalty interest will revert back to us after OMERS receives $30 million in royalty payments from Alnylam. We also have rights to a second, lower royalty interest on global net sales of ONPATTRO originating from a settlement agreement and subsequent license agreement with Acuitas Therapeutics, Inc. (Acuitas). The royalty entitlement from Acuitas has been retained by us and was not part of the royalty entitlement sale to 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we owned approximately 16% of the common equity of Genevant Sciences Ltd. (Genevant), a company we launched with Roivant Sciences, Ltd. and to which we licensed rights to our lipid nanoparticle (LNP) and ligand conjugate delivery platforms outside of HBV, except to the extent certain rights had already been licensed to other third parties (the Genevant License). We retained all rights to our LNP and conjugate delivery platforms for HBV. Under the Genevant License, as amended, if a third-party sublicensee of intellectual property licensed by Genevant from us commercializes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66" w:name="page67"/>
    <w:bookmarkEnd w:id="66"/>
    <w:p>
      <w:pPr>
        <w:jc w:val="both"/>
        <w:spacing w:after="0" w:line="270" w:lineRule="auto"/>
        <w:rPr>
          <w:sz w:val="20"/>
          <w:szCs w:val="20"/>
          <w:color w:val="auto"/>
        </w:rPr>
      </w:pPr>
      <w:r>
        <w:rPr>
          <w:rFonts w:ascii="Times New Roman" w:cs="Times New Roman" w:eastAsia="Times New Roman" w:hAnsi="Times New Roman"/>
          <w:sz w:val="14"/>
          <w:szCs w:val="14"/>
          <w:color w:val="auto"/>
        </w:rPr>
        <w:t>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“Item 1. Business.” and Note 11 of the Consolidated Financial Statements for a discussion of our clinical collaborations and other royalty entitlements.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accounting for our contingent consideration is a significant accounting policy that we believe is critical in fully understanding and evaluating our financial results. This accounting policy requires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Consideration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acquisition of Enantigen Therapeutics, Inc. (Enantigen) in October 2014, we have obligations to make potential future payments of up to $102.5 million upon the achievement of certain commercial milestones. The sales milestones are tied to the first commercial sales by us of a product indicated for the treatment of cHBV infection. These potential contingent payments are recorded as a liability and remeasured to fair value as of each reporting date. In assessing the fair value of the liability, significant judgments are required to be made by management to estimate the probability of program success, the timing and extent of future product sales, appropriate discount rates, and other estimates and assumptions that could materially affect the determination of fair value.</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order to estimate the probability of program success, we evaluate the status and progress of our clinical trials with our lead product candidate, imdusiran, in comparison to actual historical success rates for other clinical trials. We update our assumptions related to probability of success as imdusiran advances through clinical trials. For the timing and extent of future product sales, we also consider the status and progress of imdusiran, future revenue forecasts and other macroeconomic indicators that forecast market conditions. The discount rate at which we calculate the present value of our potential future liability is based on consideration of market-comparative data, market-based discount rates, and company-specific risk premiums.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assumptions related to the probability of program success and timing and amount of potential future product sales are highly uncertain due to the unpredictable nature of product development, we assessed the sensitivity of the fair value measurement to changes in assumptions, and determined that changes within a reasonable range would not result in a materially different assessment of fair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generate revenue primarily through collaboration agreements and license agreements. Such agreements may require us to deliver various rights and/or services, including intellectual property rights or licenses and development and manufacturing services. Under such agreements, we are generally eligible to receive non-refundable upfront payments, funding for development and manufacturing services, milestone payments, and royalties.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Our collaboration agreements fall under the scope of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(ASC 808) when both parties are active participants in the arrangement and are exposed to significant risks and rewards. For certain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under the scope of ASC 808, we analogize to ASC 606 for some aspects, including for the delivery of a good or service (i.e., a unit of account).</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contracts where we have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These estimates are re-assessed each reporting period as required.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performance obligations satisfied over time, we estimate the efforts needed to complete the performance obligation and recognize revenue by measuring the progress towards complete satisfaction of the performance obligation using an input measure.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may be required to exercise considerable judgment in estimating revenue to be recognized. Judgment is required in identifying performance obligations, estimating the transaction price, estimating the stand-alone selling price of identified performance obligations, and estimating the progress towards satisfaction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our results of operations for the year ended December 31, 2024 compared to the year ended December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20" w:type="dxa"/>
            <w:vAlign w:val="bottom"/>
            <w:tcBorders>
              <w:bottom w:val="single" w:sz="8" w:color="auto"/>
            </w:tcBorders>
          </w:tcPr>
          <w:p>
            <w:pPr>
              <w:spacing w:after="0"/>
              <w:rPr>
                <w:sz w:val="13"/>
                <w:szCs w:val="13"/>
                <w:color w:val="auto"/>
              </w:rPr>
            </w:pPr>
          </w:p>
        </w:tc>
      </w:tr>
      <w:tr>
        <w:trPr>
          <w:trHeight w:val="160"/>
        </w:trPr>
        <w:tc>
          <w:tcPr>
            <w:tcW w:w="7280" w:type="dxa"/>
            <w:vAlign w:val="bottom"/>
          </w:tcPr>
          <w:p>
            <w:pPr>
              <w:spacing w:after="0"/>
              <w:rPr>
                <w:sz w:val="13"/>
                <w:szCs w:val="13"/>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7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3"/>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20" w:type="dxa"/>
            <w:vAlign w:val="bottom"/>
          </w:tcPr>
          <w:p>
            <w:pPr>
              <w:spacing w:after="0"/>
              <w:rPr>
                <w:sz w:val="13"/>
                <w:szCs w:val="13"/>
                <w:color w:val="auto"/>
              </w:rPr>
            </w:pPr>
          </w:p>
        </w:tc>
      </w:tr>
      <w:tr>
        <w:trPr>
          <w:trHeight w:val="18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82,490</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96,244</w:t>
            </w:r>
          </w:p>
        </w:tc>
      </w:tr>
      <w:tr>
        <w:trPr>
          <w:trHeight w:val="17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from operations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(78,103)</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r>
      <w:tr>
        <w:trPr>
          <w:trHeight w:val="17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Borders>
              <w:top w:val="single" w:sz="8" w:color="auto"/>
            </w:tcBorders>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fiscal year ended December 31, 2024, our net loss attributable to common shares was $69.9 million, or a loss of $0.38 per basic and diluted common share, as compared to a net loss of $72.8 million, or a loss of $0.44 per basic and diluted common share,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the years ended December 31, 2024 and 2023 is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60" w:type="dxa"/>
            <w:vAlign w:val="bottom"/>
            <w:tcBorders>
              <w:bottom w:val="single" w:sz="8" w:color="auto"/>
            </w:tcBorders>
          </w:tcPr>
          <w:p>
            <w:pPr>
              <w:spacing w:after="0"/>
              <w:rPr>
                <w:sz w:val="13"/>
                <w:szCs w:val="13"/>
                <w:color w:val="auto"/>
              </w:rPr>
            </w:pPr>
          </w:p>
        </w:tc>
      </w:tr>
      <w:tr>
        <w:trPr>
          <w:trHeight w:val="150"/>
        </w:trPr>
        <w:tc>
          <w:tcPr>
            <w:tcW w:w="5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5"/>
                <w:szCs w:val="15"/>
                <w:color w:val="auto"/>
              </w:rPr>
            </w:pP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18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75"/>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consists mainly of license revenue and royalties received from other companies for sales of products that utilize our licensed technologies.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Total revenue decreased $12.0 million for the year ended December 31, 2024 compared to 2023, due primarily to: i) a $9.3 million decrease in revenue recognition of the upfront license fee we received from Qilu in 2022 as less effort was required from us in 2024 compared to 2023 to support Qilu’s progress towards achieving their own imdusiran manufacturing capability; and ii) a $2.7 million decrease in license royalty revenue from Alnylam and Acuitas due to lower sales of Alnylam’s ONPATTRO in 2024 compared to 2023 primarily due to Alnylam’s next generation RNAi product AMVUTTRA (vutrisiran) cannibalizing sales of ONPATTRO. We anticipate that the license royalty revenue from Alnylam and Acuitas will continue to decrease due to such cannibalization of sales of ONPATTRO.</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royalty interest for ONPATTRO from Alnylam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 they fail to collect any such future royalties. During the term of this agreement, we recognize non-cash royalty revenue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9" w:name="page70"/>
    <w:bookmarkEnd w:id="69"/>
    <w:p>
      <w:pPr>
        <w:jc w:val="both"/>
        <w:spacing w:after="0" w:line="270" w:lineRule="auto"/>
        <w:rPr>
          <w:sz w:val="20"/>
          <w:szCs w:val="20"/>
          <w:color w:val="auto"/>
        </w:rPr>
      </w:pPr>
      <w:r>
        <w:rPr>
          <w:rFonts w:ascii="Times New Roman" w:cs="Times New Roman" w:eastAsia="Times New Roman" w:hAnsi="Times New Roman"/>
          <w:sz w:val="14"/>
          <w:szCs w:val="14"/>
          <w:color w:val="auto"/>
        </w:rPr>
        <w:t>to the sales of ONPATTRO. From the inception of the royalty sale through December 31, 2024, we have recorded an aggregate of $25.0 million of non-cash royalty revenue for royalties earned by OMERS. The royalty interest for ONPATTRO from Acuitas was not part of the royalty sale to OMERS and we have retained the rights to receive those royalties. Revenue contracts are described in more detail in “Item 1.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for the years ended December 31, 2024 and 2023 are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5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0" w:type="dxa"/>
            <w:vAlign w:val="bottom"/>
            <w:tcBorders>
              <w:bottom w:val="single" w:sz="8" w:color="auto"/>
            </w:tcBorders>
          </w:tcPr>
          <w:p>
            <w:pPr>
              <w:spacing w:after="0"/>
              <w:rPr>
                <w:sz w:val="13"/>
                <w:szCs w:val="13"/>
                <w:color w:val="auto"/>
              </w:rPr>
            </w:pPr>
          </w:p>
        </w:tc>
      </w:tr>
      <w:tr>
        <w:trPr>
          <w:trHeight w:val="150"/>
        </w:trPr>
        <w:tc>
          <w:tcPr>
            <w:tcW w:w="5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costs</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5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82,490</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96,244</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 expenses, fees paid to clinical research organizations and contract manufacturers, consumables and materials, consulting, and other third-party expenses to support our clinical development activities, as well as a portion of stock-based compensation and general overhead costs.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decreased $19.7 million in 2024 compared to 2023 due primarily to: i) a decrease in clinical expenses related to the discontinuation of our coronavirus and AB-161 programs during the fourth quarter of 2023; ii) a decrease in research activities and preclinical study costs for AB-101 which is now in a Phase 1a/1b clinical trial; and iii) cost savings from our decision in August 2024 to streamline the organization to focus our efforts on advancing the clinical development of imdusiran and AB-101, which included ceasing all discovery efforts, discontinuing our IM-PROVE III clinical trial and reducing our workforce by 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significant portion of our research and development expenses are not tracked by project, as they benefit multiple projects or our overall technology platform.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$0.4 million in 2024 compared to 2023, due primarily to decreases in employee compensation-related expenses, partially offset by an increase in litigation-related legal fees.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contingent consideration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our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general, increases in the fair value of the contingent consideration are related to the progress of our programs as they get closer to triggering these contingent payments. The change in the fair value of our Contingent Consideration is driven by fair value adjustments for the passage of time, the discount rate, the progression of our programs through clinical trials and our assessment of the probability, timing and extent of future product sales, resulting in an increase of $2.6 million and $0.1 million, in 2024 and 2023, respectively. The increase in the fair value of the contingent consideration in 2024 was due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0" w:name="page71"/>
    <w:bookmarkEnd w:id="70"/>
    <w:p>
      <w:pPr>
        <w:jc w:val="both"/>
        <w:spacing w:after="0" w:line="287" w:lineRule="auto"/>
        <w:rPr>
          <w:sz w:val="20"/>
          <w:szCs w:val="20"/>
          <w:color w:val="auto"/>
        </w:rPr>
      </w:pPr>
      <w:r>
        <w:rPr>
          <w:rFonts w:ascii="Times New Roman" w:cs="Times New Roman" w:eastAsia="Times New Roman" w:hAnsi="Times New Roman"/>
          <w:sz w:val="14"/>
          <w:szCs w:val="14"/>
          <w:color w:val="auto"/>
        </w:rPr>
        <w:t>to an increase in our assessment of the probability of success of future product sales based on the positive clinical data we reported in November 2024 from our IM-PROVE I clinical trial with imdusiran, IFN and NA therapy.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Effective August 1, 2024, we ceased all discovery efforts and discontinued our IM-PROVE III clinical trial to streamline the organization to focus our efforts on advancing the clinical development of imdusiran and AB-101. In taking these steps, we implemented a 40% reduction in our workforce, primarily affecting the discovery and general and administrative functions. As a result, we incurred a one-time restructuring charge in the third quarter of 2024 of approximately $3.7 million, which includes approximately $2.9 million of cash severance and continued benefits payments, a non-cash impairment charge for laboratory equipment of approximately $0.2 million and approximately $0.6 million of cash payments to vendors for close-out activities in connection with the cessation of discovery efforts and the discontinuation of our IM-PROVE III clinical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(losses) for the years ended December 31, 2024 and 2023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00" w:type="dxa"/>
            <w:vAlign w:val="bottom"/>
            <w:tcBorders>
              <w:bottom w:val="single" w:sz="8" w:color="auto"/>
            </w:tcBorders>
          </w:tcPr>
          <w:p>
            <w:pPr>
              <w:spacing w:after="0"/>
              <w:rPr>
                <w:sz w:val="13"/>
                <w:szCs w:val="13"/>
                <w:color w:val="auto"/>
              </w:rPr>
            </w:pPr>
          </w:p>
        </w:tc>
      </w:tr>
      <w:tr>
        <w:trPr>
          <w:trHeight w:val="150"/>
        </w:trPr>
        <w:tc>
          <w:tcPr>
            <w:tcW w:w="6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r>
      <w:tr>
        <w:trPr>
          <w:trHeight w:val="18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(loss) / gain</w:t>
            </w:r>
          </w:p>
        </w:tc>
        <w:tc>
          <w:tcPr>
            <w:tcW w:w="5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5"/>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increased $0.9 million in 2024 compared to 2023 due primarily to a general increase in market interest rates related to our investments in marketable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Interest expense decreased $0.3 million in 2024 compared to 2023 due primarily to a decrease in the non-cash amortization of the discount and issuance costs related to the sale of a portion of our ONPATTRO royalty interest to OMERS in July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our incorporation, we have financed our operations through the sales of equity, debt, revenues from development collaborations and licenses with corporate partners, a royalty monetization, interest income on funds available for investment, and government contracts, grants and tax credits.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had total cash, cash equivalents and investments in marketable securities of $122.6 million, of which $36.3 million was cash and cash equivalents and $86.3 million was investments in marketable securities. We had no outstanding debt as of December 31,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Sources of Liquidity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March 26, 2025, we terminated our 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with Jefferies dated December 20, 2018, as amended by Amendment No. 1, dated December 20, 2019, Amendment No.</w:t>
      </w:r>
    </w:p>
    <w:p>
      <w:pPr>
        <w:spacing w:after="0"/>
        <w:rPr>
          <w:sz w:val="20"/>
          <w:szCs w:val="20"/>
          <w:color w:val="auto"/>
        </w:rPr>
      </w:pPr>
      <w:r>
        <w:rPr>
          <w:rFonts w:ascii="Times New Roman" w:cs="Times New Roman" w:eastAsia="Times New Roman" w:hAnsi="Times New Roman"/>
          <w:sz w:val="14"/>
          <w:szCs w:val="14"/>
          <w:color w:val="auto"/>
        </w:rPr>
        <w:t>2, dated August 7, 2020 and Amendment No. 3, dated March 4, 2021 (as amended, the Sale Agreement), under which we could offer and sell common shares, from time to time.</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Previously, on November 6, 2024, we had filed: i) a shelf registration statement on Form S-3 with the SEC (File No. 333-283038) with an accompanying base prospectus, declared effective by the SEC on December 5, 2024 (the December 2024 Registration Statement), for the offer and sale of up to $300.0 million of our securities; and ii) a prospectus supplement with the SEC in connection with the offering of up to $100.0 million of our common shares pursuant to the Sale Agreement under the December 2024 Registration Statement (the December 2024 Prospectus Supplement). We did not utilize any of the December 2024 prospectus supplement pursuant to the Sale Agreement prior to the termination of the Sale Agreement.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2024 and 2023, we issued 16,499,999 and 12,020,257 common shares, respectively, under the Sale Agreement resulting in net proceeds of approximately $44.1 million and $29.9 million,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Royalty Entitlements</w:t>
      </w:r>
    </w:p>
    <w:p>
      <w:pPr>
        <w:spacing w:after="0" w:line="2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From the inception of the royalty sale through December 31, 2024, we have recorded an aggregate of $25.0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 $40 million and made an equity investment of $15.0 million, both received in January 2022, and agreed to pay us up to $245 million, net of withholding taxes, upon the achievement of certain technology transfer, development, regulatory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commercialization milestones. Qilu also agreed to pay us double digit royalties into the low twenties percent based upon annual net sales of imdusiran in Greater China and Taiwan.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requirements</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the organizational changes announced during the first quarter of 2025, and our ongoing cost management efforts, we expect to significantly reduce our net cash burn in 2025 when compared to 2024. In the future and subject to the completion of our review of our pipeline and development plans for our hepatitis B programs, substantial additional funds would be required to continue with the active development of our pipeline products and technologies. In particular, our funding needs may vary depending on a number of factors including:</w:t>
      </w:r>
    </w:p>
    <w:p>
      <w:pPr>
        <w:spacing w:after="0" w:line="199" w:lineRule="exact"/>
        <w:rPr>
          <w:sz w:val="20"/>
          <w:szCs w:val="20"/>
          <w:color w:val="auto"/>
        </w:rPr>
      </w:pPr>
    </w:p>
    <w:p>
      <w:pPr>
        <w:ind w:left="520" w:hanging="388"/>
        <w:spacing w:after="0"/>
        <w:tabs>
          <w:tab w:leader="none" w:pos="520" w:val="left"/>
        </w:tabs>
        <w:numPr>
          <w:ilvl w:val="0"/>
          <w:numId w:val="43"/>
        </w:numPr>
        <w:rPr>
          <w:rFonts w:ascii="Arial" w:cs="Arial" w:eastAsia="Arial" w:hAnsi="Arial"/>
          <w:sz w:val="14"/>
          <w:szCs w:val="14"/>
          <w:color w:val="auto"/>
        </w:rPr>
      </w:pPr>
      <w:r>
        <w:rPr>
          <w:rFonts w:ascii="Times New Roman" w:cs="Times New Roman" w:eastAsia="Times New Roman" w:hAnsi="Times New Roman"/>
          <w:sz w:val="14"/>
          <w:szCs w:val="14"/>
          <w:color w:val="auto"/>
        </w:rPr>
        <w:t>the results of the review of our pipeline and development plans for our hepatitis B programs;</w:t>
      </w:r>
    </w:p>
    <w:p>
      <w:pPr>
        <w:spacing w:after="0" w:line="50" w:lineRule="exact"/>
        <w:rPr>
          <w:rFonts w:ascii="Arial" w:cs="Arial" w:eastAsia="Arial" w:hAnsi="Arial"/>
          <w:sz w:val="14"/>
          <w:szCs w:val="14"/>
          <w:color w:val="auto"/>
        </w:rPr>
      </w:pPr>
    </w:p>
    <w:p>
      <w:pPr>
        <w:ind w:left="520" w:hanging="388"/>
        <w:spacing w:after="0" w:line="284"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prosecuting and enforcing our patent claims and other intellectual property rights, including our ongoing patent infringement matters against Moderna and Pfizer/BioNTech;</w:t>
      </w: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our legacy collaborative partnerships and licensing agreements, including potential royalty payments from Alnylam’s ONPATTRO;</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ongoing collaborative partnerships, including milestone and royalty payments;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requirement to make milestone payments related to our legacy agreements;</w:t>
      </w:r>
    </w:p>
    <w:p>
      <w:pPr>
        <w:spacing w:after="0" w:line="51" w:lineRule="exact"/>
        <w:rPr>
          <w:rFonts w:ascii="Times New Roman" w:cs="Times New Roman" w:eastAsia="Times New Roman" w:hAnsi="Times New Roman"/>
          <w:sz w:val="14"/>
          <w:szCs w:val="14"/>
          <w:color w:val="auto"/>
        </w:rPr>
      </w:pPr>
    </w:p>
    <w:p>
      <w:pPr>
        <w:ind w:left="520" w:hanging="388"/>
        <w:spacing w:after="0" w:line="284"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add new product candidates to our pipeline, or form collaborative relationships or licensing arrangements to advance our product candidates;</w:t>
      </w: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development of our product candidates due to preclinical and clinical findings;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product candidates or technology for development;</w:t>
      </w:r>
    </w:p>
    <w:p>
      <w:pPr>
        <w:spacing w:after="0" w:line="51" w:lineRule="exact"/>
        <w:rPr>
          <w:rFonts w:ascii="Times New Roman" w:cs="Times New Roman" w:eastAsia="Times New Roman" w:hAnsi="Times New Roman"/>
          <w:sz w:val="14"/>
          <w:szCs w:val="14"/>
          <w:color w:val="auto"/>
        </w:rPr>
      </w:pPr>
    </w:p>
    <w:p>
      <w:pPr>
        <w:ind w:left="520" w:hanging="388"/>
        <w:spacing w:after="0" w:line="284"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 and</w:t>
      </w:r>
    </w:p>
    <w:p>
      <w:pPr>
        <w:spacing w:after="0" w:line="51"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product candidates and technological and market developments.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decide to seek funding and such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 activities for the periods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r>
      <w:tr>
        <w:trPr>
          <w:trHeight w:val="154"/>
        </w:trPr>
        <w:tc>
          <w:tcPr>
            <w:tcW w:w="7780" w:type="dxa"/>
            <w:vAlign w:val="bottom"/>
          </w:tcPr>
          <w:p>
            <w:pPr>
              <w:spacing w:after="0"/>
              <w:rPr>
                <w:sz w:val="13"/>
                <w:szCs w:val="1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40" w:type="dxa"/>
            <w:vAlign w:val="bottom"/>
          </w:tcPr>
          <w:p>
            <w:pPr>
              <w:spacing w:after="0"/>
              <w:rPr>
                <w:sz w:val="13"/>
                <w:szCs w:val="13"/>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items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license revenue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w:t>
            </w:r>
          </w:p>
        </w:tc>
      </w:tr>
      <w:tr>
        <w:trPr>
          <w:trHeight w:val="17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(85,936)</w:t>
            </w:r>
          </w:p>
        </w:tc>
      </w:tr>
      <w:tr>
        <w:trPr>
          <w:trHeight w:val="180"/>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50,773</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29,852</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17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30,647</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 (decrease) in cash and cash equivalents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30,776</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r>
    </w:tbl>
    <w:p>
      <w:pPr>
        <w:spacing w:after="0" w:line="2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in 2024 decreased $21.1 million compared to 2023 due primarily to a decrease in research and development expenses related to our HBV pipeline prioritization and the timing of payments to vendors.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investing activities in 2024 decreased $27.8 million compared to 2023, due primarily to the timing of acquisitions and maturities of investments in marketable securities.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in 2024 increased $21.3 million compared to 2023 due primarily to a $14.2 million increase in proceeds from sales of common shares under the Sale Agreement and an increase in proceeds from employee stock option exercises.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or other standard setting bodies that we adopt as of the specified effective date. 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104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8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20" w:type="dxa"/>
            <w:vAlign w:val="bottom"/>
          </w:tcPr>
          <w:p>
            <w:pPr>
              <w:spacing w:after="0"/>
              <w:rPr>
                <w:sz w:val="12"/>
                <w:szCs w:val="12"/>
                <w:color w:val="auto"/>
              </w:rPr>
            </w:pPr>
          </w:p>
        </w:tc>
        <w:tc>
          <w:tcPr>
            <w:tcW w:w="10460" w:type="dxa"/>
            <w:vAlign w:val="bottom"/>
            <w:gridSpan w:val="7"/>
          </w:tcPr>
          <w:p>
            <w:pPr>
              <w:spacing w:after="0" w:line="140" w:lineRule="exact"/>
              <w:rPr>
                <w:sz w:val="20"/>
                <w:szCs w:val="20"/>
                <w:color w:val="auto"/>
              </w:rPr>
            </w:pPr>
            <w:r>
              <w:rPr>
                <w:rFonts w:ascii="Times New Roman" w:cs="Times New Roman" w:eastAsia="Times New Roman" w:hAnsi="Times New Roman"/>
                <w:sz w:val="14"/>
                <w:szCs w:val="14"/>
                <w:color w:val="0000FF"/>
              </w:rPr>
              <w:t xml:space="preserve">Report of Ernst &amp; Young, LLP, Independent Registered Public Accounting Firm </w:t>
            </w:r>
            <w:r>
              <w:rPr>
                <w:rFonts w:ascii="Times New Roman" w:cs="Times New Roman" w:eastAsia="Times New Roman" w:hAnsi="Times New Roman"/>
                <w:sz w:val="14"/>
                <w:szCs w:val="14"/>
                <w:color w:val="000000"/>
              </w:rPr>
              <w:t>- PCAOB ID: 42</w:t>
            </w:r>
          </w:p>
        </w:tc>
        <w:tc>
          <w:tcPr>
            <w:tcW w:w="460" w:type="dxa"/>
            <w:vAlign w:val="bottom"/>
            <w:gridSpan w:val="2"/>
          </w:tcPr>
          <w:p>
            <w:pPr>
              <w:jc w:val="center"/>
              <w:ind w:left="249"/>
              <w:spacing w:after="0" w:line="140" w:lineRule="exact"/>
              <w:rPr>
                <w:sz w:val="20"/>
                <w:szCs w:val="20"/>
                <w:color w:val="auto"/>
              </w:rPr>
            </w:pPr>
            <w:r>
              <w:rPr>
                <w:rFonts w:ascii="Times New Roman" w:cs="Times New Roman" w:eastAsia="Times New Roman" w:hAnsi="Times New Roman"/>
                <w:sz w:val="14"/>
                <w:szCs w:val="14"/>
                <w:color w:val="0000FF"/>
                <w:w w:val="99"/>
              </w:rPr>
              <w:t>75</w:t>
            </w:r>
          </w:p>
        </w:tc>
        <w:tc>
          <w:tcPr>
            <w:tcW w:w="3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4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31, 2024 and 2023</w:t>
            </w:r>
          </w:p>
        </w:tc>
        <w:tc>
          <w:tcPr>
            <w:tcW w:w="592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77</w:t>
            </w: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2024 and 2023</w:t>
            </w:r>
          </w:p>
        </w:tc>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78</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2024 and 2023</w:t>
            </w:r>
          </w:p>
        </w:tc>
        <w:tc>
          <w:tcPr>
            <w:tcW w:w="4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0000FF"/>
                <w:w w:val="99"/>
              </w:rPr>
              <w:t>79</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2024 and 2023</w:t>
            </w:r>
          </w:p>
        </w:tc>
        <w:tc>
          <w:tcPr>
            <w:tcW w:w="520" w:type="dxa"/>
            <w:vAlign w:val="bottom"/>
            <w:tcBorders>
              <w:top w:val="single" w:sz="8" w:color="0000FF"/>
            </w:tcBorders>
          </w:tcPr>
          <w:p>
            <w:pPr>
              <w:spacing w:after="0"/>
              <w:rPr>
                <w:sz w:val="13"/>
                <w:szCs w:val="13"/>
                <w:color w:val="auto"/>
              </w:rPr>
            </w:pPr>
          </w:p>
        </w:tc>
        <w:tc>
          <w:tcPr>
            <w:tcW w:w="48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80</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980" w:type="dxa"/>
            <w:vAlign w:val="bottom"/>
            <w:gridSpan w:val="6"/>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81</w:t>
            </w:r>
          </w:p>
        </w:tc>
        <w:tc>
          <w:tcPr>
            <w:tcW w:w="3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75" w:name="page76"/>
    <w:bookmarkEnd w:id="75"/>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the Shareholders and the Board of Directors of Arbutus Biopharma 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Arbutus Biopharma Corporation (the Company) as of December 31, 2024 and 2023, and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76" w:name="page77"/>
    <w:bookmarkEnd w:id="76"/>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contingent consideration liability</w:t>
      </w:r>
    </w:p>
    <w:p>
      <w:pPr>
        <w:spacing w:after="0" w:line="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discussed in Note 10 to the consolidated financial statements, the Company’s contingent consideration liability, which consists of sales-based milestones and royalties, resulting from the acquisition of Enantigen in 2014, is remeasured to its estimated fair value each reporting period. As of December 31, 2024, the contingent consideration liability was $10.2 million.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Auditing the valuation of the contingent consideration liability was complex and highly judgmental due to the significant estimation required in determining the fair value. In particular, the fair value estimate was sensitive to significant assumptions such as the probability of successfully commercializing a treatment for the hepatitis B virus, the timing of future payments, and the discount rate. These assumptions are affected by expectations about future industry, regulatory, market or economic conditions and are forward-looking and inherently uncertain.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test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also compared the significant assumptions to current industry, market and economic trends to corroborate the Company’s estimates and performed sensitivity analyses of significant assumptions to evaluate the changes in the contingent consideration liability that would result from changes in the significant assumptions. We also involved our valuation specialists to assist us in evaluating the valuation methodology and the discount rate.</w:t>
      </w:r>
    </w:p>
    <w:p>
      <w:pPr>
        <w:spacing w:after="0" w:line="822" w:lineRule="exact"/>
        <w:rPr>
          <w:sz w:val="20"/>
          <w:szCs w:val="20"/>
          <w:color w:val="auto"/>
        </w:rPr>
      </w:pPr>
    </w:p>
    <w:p>
      <w:pPr>
        <w:sectPr>
          <w:pgSz w:w="11900" w:h="16838" w:orient="portrait"/>
          <w:cols w:equalWidth="0" w:num="2">
            <w:col w:w="2160" w:space="180"/>
            <w:col w:w="8860"/>
          </w:cols>
          <w:pgMar w:left="300" w:top="1215" w:right="39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15" w:right="399" w:bottom="1440" w:gutter="0" w:footer="0" w:header="0"/>
          <w:type w:val="continuous"/>
        </w:sectPr>
      </w:pPr>
    </w:p>
    <w:bookmarkStart w:id="77" w:name="page78"/>
    <w:bookmarkEnd w:id="77"/>
    <w:p>
      <w:pPr>
        <w:spacing w:after="0" w:line="2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Pr>
          <w:p>
            <w:pPr>
              <w:spacing w:after="0"/>
              <w:rPr>
                <w:sz w:val="13"/>
                <w:szCs w:val="13"/>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99,718</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4,248</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132,027</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marketable securities, non-current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131,707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144,401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license revenue, current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11,791</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Lease liability, current</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22,487</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related to sale of future royalties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license revenue, non-current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 liability, non-current</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38,383</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Authorized: unlimited number without par value</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Issued and outstanding: 189,963,492 and 169,867,414 as of December 31, 2024 and 2023, respectively.</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1,410,025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1,349,821</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81,270</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Deficit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(48,421)</w:t>
            </w:r>
          </w:p>
        </w:tc>
      </w:tr>
      <w:tr>
        <w:trPr>
          <w:trHeight w:val="171"/>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131,707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144,401</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78" w:name="page79"/>
    <w:bookmarkEnd w:id="78"/>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Collaborations and licenses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22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14,274</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royalty revenue</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2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w:t>
            </w:r>
          </w:p>
        </w:tc>
      </w:tr>
      <w:tr>
        <w:trPr>
          <w:trHeight w:val="17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18,141</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73,700</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22,475</w:t>
            </w: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costs</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2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96,244</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(76,319)</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(78,103)</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180"/>
        </w:trPr>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exchange (loss) / gain</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r>
      <w:tr>
        <w:trPr>
          <w:trHeight w:val="17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2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share</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common shares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185,608,874</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165,960,379</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r>
      <w:tr>
        <w:trPr>
          <w:trHeight w:val="17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(69,634)</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(70,782)</w:t>
            </w: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9" w:name="page80"/>
    <w:bookmarkEnd w:id="79"/>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Consolidated Statement of Stockholders’ Equity</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480" w:type="dxa"/>
            <w:vAlign w:val="bottom"/>
          </w:tcPr>
          <w:p>
            <w:pPr>
              <w:spacing w:after="0"/>
              <w:rPr>
                <w:sz w:val="8"/>
                <w:szCs w:val="8"/>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20" w:type="dxa"/>
            <w:vAlign w:val="bottom"/>
          </w:tcPr>
          <w:p>
            <w:pPr>
              <w:spacing w:after="0"/>
              <w:rPr>
                <w:sz w:val="8"/>
                <w:szCs w:val="8"/>
                <w:color w:val="auto"/>
              </w:rPr>
            </w:pPr>
          </w:p>
        </w:tc>
        <w:tc>
          <w:tcPr>
            <w:tcW w:w="116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260" w:type="dxa"/>
            <w:vAlign w:val="bottom"/>
          </w:tcPr>
          <w:p>
            <w:pPr>
              <w:spacing w:after="0"/>
              <w:rPr>
                <w:sz w:val="8"/>
                <w:szCs w:val="8"/>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8"/>
                <w:szCs w:val="8"/>
                <w:color w:val="auto"/>
              </w:rPr>
            </w:pPr>
          </w:p>
        </w:tc>
        <w:tc>
          <w:tcPr>
            <w:tcW w:w="126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8"/>
                <w:szCs w:val="8"/>
                <w:color w:val="auto"/>
              </w:rPr>
            </w:pPr>
          </w:p>
        </w:tc>
        <w:tc>
          <w:tcPr>
            <w:tcW w:w="1080" w:type="dxa"/>
            <w:vAlign w:val="bottom"/>
          </w:tcPr>
          <w:p>
            <w:pPr>
              <w:jc w:val="right"/>
              <w:ind w:right="71"/>
              <w:spacing w:after="0" w:line="97"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157,455,363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1,318,737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(1,203,803)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136,852</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9,301</w:t>
            </w: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the Open Market</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Agreement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12,020,257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29,852</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exercise of stock</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169,867,414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1,349,821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81,270</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the Open Market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Agreement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16,499,999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44,123</w:t>
            </w: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exercise of stock</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2,958,264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upon settlement of RSUs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189,963,492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1,410,025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82,048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0" w:name="page81"/>
    <w:bookmarkEnd w:id="80"/>
    <w:p>
      <w:pPr>
        <w:ind w:left="428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8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(72,849)</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items: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on impairment of lab equipment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10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royalty revenue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deferred license revenue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71"/>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(85,936)</w:t>
            </w:r>
          </w:p>
        </w:tc>
      </w:tr>
      <w:tr>
        <w:trPr>
          <w:trHeight w:val="18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investments in marketable securities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(141,509)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(80,509)</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Disposition of investments in marketable securities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132,270</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171"/>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50,773</w:t>
            </w:r>
          </w:p>
        </w:tc>
      </w:tr>
      <w:tr>
        <w:trPr>
          <w:trHeight w:val="18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29,852</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exercise of stock options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80"/>
        </w:trPr>
        <w:tc>
          <w:tcPr>
            <w:tcW w:w="7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30,647</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Increase / (decrease) in cash and cash equivalents</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(4,491)</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30,776</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r>
    </w:tbl>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26"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(Tabular amounts in thousands of US Dollars, except share and per share amounts)</w:t>
      </w:r>
    </w:p>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Arbutus Biopharma Corporation (“Arbutus” or the “Company”) is a clinical-stage biopharmaceutical company focused on infectious disease. The Company is currently developing imdusiran (AB-729), its proprietary, conjugated GalNAc, subcutaneously-delivered RNAi therapeutic, and AB-101, its proprietary oral PD-L1 inhibitor, for the treatment of chronic hepatitis B (cHBV). Through its ownership stake in and its license to Genevant Sciences, Ltd (Genevant), the Company is also focused on maximizing opportunity for its in-house developed Lipid Nanoparticle (LNP) delivery technology. </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continues to protect and defend its intellectual property, which is the subject of its ongoing lawsuits against Moderna Therapeutics, Inc. (Moderna) and against Pfizer Inc. and BioNTech SE (collectively, Pfizer/BioNTech) for their use of the Company’s patented lipid nanoparticle (LNP) delivery technology in their COVID-19 mRNA-LNP vaccines. With respect to the Moderna lawsuit in the United States, a trial date has been set for September 24, 2025. On March 3, 2025, the Company announced that, along with Genevant, it filed five international lawsuits against Moderna in connection with their use of the Company’s LNP technology in their COVID-19 mRNA-LNP and RSV vaccines. With respect to the Pfizer/BioNTech lawsuit, the claim construction hearing occurred in December 2024. The court is expected to provide its ruling on the claim construction and issue a further scheduling order, including the date for trial,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the Company had an aggregate of $122.6 million in cash, cash equivalents and investments in marketable securities. The Company had no outstanding debt as of December 31, 2024. The Company believes it has sufficient cash, cash equivalents and investments in marketable securities to fund its operations for at least the next 12 months.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success of the Company is dependent on obtaining the necessary regulatory approvals to bring one or more of its product candidates to market and achieve profitable operations. The Company’s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development programs or the Company’s ability to continue to fund these programs in the future.</w:t>
      </w:r>
    </w:p>
    <w:p>
      <w:pPr>
        <w:spacing w:after="0" w:line="35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in accordance with U.S. generally accepted accounting principles (GAAP) and include the accounts of Arbutus Biopharma Corporation and its one wholly-owned subsidiary, Arbutus Biopharma, Inc. All intercompany balances and transactions have been eliminated.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estimates in the accompanying consolidated financial statements impact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marketable securities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short-term investments consist of marketable securities that have original maturities exceeding three months and remaining maturities of less than one year. The Company classifies investments with remaining maturities of one year or longer as non-current.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expense in the Company’s statements of operations and comprehensive loss. As of December 31, 2024, the recorded value of the Company’s investments in marketable securities was deemed to be recoverable in all respects.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investments are governed by the Company’s Investment Policy approved by the Company’s Board of Directors (the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functional currency conversion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 or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 Genevant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similar Genevant securities. As of December 31, 2024, Arbutus owned approximately 16% of the common equity of Genevant and the carrying value of Arbutus’ investment in Genevant was zero.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5 for more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is recorded at cost less impairment losses and accumulated depreciation. The Company records depreciation using the straight-line method over the estimated useful lives of the capital assets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Useful Life (Years)</w:t>
            </w:r>
          </w:p>
        </w:tc>
      </w:tr>
      <w:tr>
        <w:trPr>
          <w:trHeight w:val="18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380" w:type="dxa"/>
            <w:vAlign w:val="bottom"/>
            <w:shd w:val="clear" w:color="auto" w:fill="CCEEFF"/>
          </w:tcPr>
          <w:p>
            <w:pPr>
              <w:spacing w:after="0"/>
              <w:rPr>
                <w:sz w:val="15"/>
                <w:szCs w:val="15"/>
                <w:color w:val="auto"/>
              </w:rPr>
            </w:pPr>
          </w:p>
        </w:tc>
      </w:tr>
      <w:tr>
        <w:trPr>
          <w:trHeight w:val="180"/>
        </w:trPr>
        <w:tc>
          <w:tcPr>
            <w:tcW w:w="10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3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3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380" w:type="dxa"/>
            <w:vAlign w:val="bottom"/>
            <w:shd w:val="clear" w:color="auto" w:fill="CCEEFF"/>
          </w:tcPr>
          <w:p>
            <w:pPr>
              <w:spacing w:after="0"/>
              <w:rPr>
                <w:sz w:val="15"/>
                <w:szCs w:val="15"/>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Leasehold improvements are depreciated over their estimated useful lives but in no case longer than the lease term, except where lease renewal is reasonably assured.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3" w:name="page84"/>
    <w:bookmarkEnd w:id="83"/>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all of the Company’s premises, property and equipment are located in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generates revenue primarily through collaboration agreements and license agreements. Such agreements may require the Company to deliver various rights and/or services, including intellectual property rights and licenses or development and manufacturing services. Under such agreements, the Company is generally eligible to receive non-refundable upfront payments, funding for development and manufacturing services, milestone payments, and royalties.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Company’s collaboration agreements fall under the scope of Accounting Standards Codification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(ASC 606), for some aspects, including for the delivery of a good or service (i.e., a unit of account).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its lease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which generally requires the recognition of operating and financing lease liabilities with corresponding right-of-use assets on the balance sheet. See note 6 for more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include compensation and benefits for research and development employees, an allocation of overhead expenses and costs associated with materials and supplies used in clinical trials and research and development, outside contracted services including clinical and preclinical study costs, legal, regulatory compliance and fees paid to consultants or outside parties for research and development activities performed on the Company’s behalf. Such costs are charged to expense in the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Research and development costs that are paid in advance of performance or receipt are recorded as prepaid expense and are amortized over the period that the services are performed.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loss per share is calculated based on the weighted average number of common shares outstanding. Diluted net loss per share does not differ from basic net loss per share for the years ended December 31, 2024 and 2023, since the effect of including potential common shares would be anti-dilutive. For the year ended December 31, 2024, potential common shares of 16.9 million pertaining to outstanding stock options and unvested restricted stock units were excluded from the calculation of net loss per share. A total of approximately 20.4 million outstanding stock options and unvested restricted stock units were excluded from the calculation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12 and note 13 for more information about the Company’s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measures and recognizes compensation expense for all share-based compensation arrangements based on estimated fair values. The Company uses the Black-Scholes option valuation model to estimate the fair value of stock options at the date of grant. The Black-Scholes option valuation model requires the input of subjective assumptions to calculate the value of stock options. For those assumptions, the Company uses historical data and other information to estimate the expected price volatility and risk-free interest rate for all awards. The expected life of stock options granted are estimated to be five years for employees and six years for directors and executives, based on the Company’s historical experience. Assumptions on the dividend yield are based on the fact that the Company has never paid cash dividends and has no present intention to pay cash dividends. The restricted stock units granted by the Company are measured at the grant-date price of the Company’s common shares. Expense is recognized over the vesting period for all awards and commences at the grant date for time-based awards. Forfeitures are recognized as they occur.</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Company’s Employee Stock Purchase Plan, the fair value of the right to acquire stock at a discounted price under the plan is calculated using the Black-Scholes valuation model. Expense is recognized over the period the employee contributes to the plan through payroll deductions.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is comprised of net loss and adjustments for the change in unrealized gains and losses on investments in available-for-sale marketable securities. The Company includes comprehensive loss and its components in the consolidated statements of operations and comprehensive loss, net of tax effects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Improvements to Reportable Segment Disclosures (ASC 2023-07), which requires disclosure of significant segment expenses and other segment items on an annual and interim basis under ASC 280. ASU 2023-07 is effective for fiscal years beginning after December 15, 2023, and for interim periods beginning after December 15, 2024. The amendments in this ASU should be applied on a retrospective basis to all periods presented. The Company has implemented this guidance as of December 31, 2024. See note 14 for further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which improves income tax disclosures by requiring:</w:t>
      </w:r>
    </w:p>
    <w:p>
      <w:pPr>
        <w:spacing w:after="0" w:line="23" w:lineRule="exact"/>
        <w:rPr>
          <w:sz w:val="20"/>
          <w:szCs w:val="20"/>
          <w:color w:val="auto"/>
        </w:rPr>
      </w:pPr>
    </w:p>
    <w:p>
      <w:pPr>
        <w:jc w:val="both"/>
        <w:ind w:firstLine="5"/>
        <w:spacing w:after="0" w:line="257" w:lineRule="auto"/>
        <w:tabs>
          <w:tab w:leader="none" w:pos="21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determined the impact ASU 2023-09 may have on the Company’s financial statement disclosures.</w:t>
      </w:r>
    </w:p>
    <w:p>
      <w:pPr>
        <w:spacing w:after="0" w:line="35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measures certain financial instruments and other items at fair value.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40" w:lineRule="exact"/>
        <w:rPr>
          <w:sz w:val="20"/>
          <w:szCs w:val="20"/>
          <w:color w:val="auto"/>
        </w:rPr>
      </w:pPr>
    </w:p>
    <w:p>
      <w:pPr>
        <w:ind w:left="760" w:hanging="373"/>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market prices for identical instruments available in active markets. The Company’s cash and cash equivalents are measured using Level 1 inputs.</w:t>
      </w:r>
    </w:p>
    <w:p>
      <w:pPr>
        <w:spacing w:after="0" w:line="51"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 The Company’s investments in marketable securities are measured using Level 2 inputs.</w:t>
      </w:r>
    </w:p>
    <w:p>
      <w:pPr>
        <w:spacing w:after="0" w:line="8"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for the asset or liability and will reflect management’s assumptions about market assumptions that would be used to price the asset or liability. The Company’s liability-classified options and contingent consideration are measured using Level 3 inputs.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carrying values of cash and cash equivalents, accounts receivable, accounts payable and accrued liabilities approximate their fair values due to the immediate or short-term maturity of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6" w:name="page87"/>
    <w:bookmarkEnd w:id="86"/>
    <w:p>
      <w:pPr>
        <w:jc w:val="both"/>
        <w:spacing w:after="0" w:line="270" w:lineRule="auto"/>
        <w:rPr>
          <w:sz w:val="20"/>
          <w:szCs w:val="20"/>
          <w:color w:val="auto"/>
        </w:rPr>
      </w:pPr>
      <w:r>
        <w:rPr>
          <w:rFonts w:ascii="Times New Roman" w:cs="Times New Roman" w:eastAsia="Times New Roman" w:hAnsi="Times New Roman"/>
          <w:sz w:val="14"/>
          <w:szCs w:val="14"/>
          <w:color w:val="auto"/>
        </w:rPr>
        <w:t>To determine the fair value of the contingent consideration related to a stock purchase agreement with Enantigen Therapeutics, Inc.’s (Enantigen) selling shareholders (note 10), the Company uses a probability weighted assessment that considers the likelihood of successfully commercializing a treatment for cHBV, the timing of future revenues related to commercial sales, and a probability adjusted discount rate that reflects the early stage nature of the development program, time to complete the program development, and overall biotech indices.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about inputs used in measuring the fair value of the contingent consideration: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40" w:type="dxa"/>
            <w:vAlign w:val="bottom"/>
          </w:tcPr>
          <w:p>
            <w:pPr>
              <w:spacing w:after="0"/>
              <w:rPr>
                <w:sz w:val="11"/>
                <w:szCs w:val="11"/>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22"/>
        </w:trPr>
        <w:tc>
          <w:tcPr>
            <w:tcW w:w="93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Timing of milestone payments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2032 - 2035</w:t>
            </w:r>
          </w:p>
        </w:tc>
        <w:tc>
          <w:tcPr>
            <w:tcW w:w="760" w:type="dxa"/>
            <w:vAlign w:val="bottom"/>
            <w:shd w:val="clear" w:color="auto" w:fill="CCEEFF"/>
          </w:tcPr>
          <w:p>
            <w:pPr>
              <w:spacing w:after="0"/>
              <w:rPr>
                <w:sz w:val="15"/>
                <w:szCs w:val="15"/>
                <w:color w:val="auto"/>
              </w:rPr>
            </w:pPr>
          </w:p>
        </w:tc>
      </w:tr>
      <w:tr>
        <w:trPr>
          <w:trHeight w:val="180"/>
        </w:trPr>
        <w:tc>
          <w:tcPr>
            <w:tcW w:w="9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(in $000s)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$102,500</w:t>
            </w:r>
          </w:p>
        </w:tc>
        <w:tc>
          <w:tcPr>
            <w:tcW w:w="760" w:type="dxa"/>
            <w:vAlign w:val="bottom"/>
          </w:tcPr>
          <w:p>
            <w:pPr>
              <w:spacing w:after="0"/>
              <w:rPr>
                <w:sz w:val="15"/>
                <w:szCs w:val="15"/>
                <w:color w:val="auto"/>
              </w:rPr>
            </w:pPr>
          </w:p>
        </w:tc>
      </w:tr>
      <w:tr>
        <w:trPr>
          <w:trHeight w:val="18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 - 10.5%</w:t>
            </w:r>
          </w:p>
        </w:tc>
        <w:tc>
          <w:tcPr>
            <w:tcW w:w="760" w:type="dxa"/>
            <w:vAlign w:val="bottom"/>
            <w:shd w:val="clear" w:color="auto" w:fill="CCEEFF"/>
          </w:tcPr>
          <w:p>
            <w:pPr>
              <w:spacing w:after="0"/>
              <w:rPr>
                <w:sz w:val="15"/>
                <w:szCs w:val="15"/>
                <w:color w:val="auto"/>
              </w:rPr>
            </w:pPr>
          </w:p>
        </w:tc>
      </w:tr>
      <w:tr>
        <w:trPr>
          <w:trHeight w:val="180"/>
        </w:trPr>
        <w:tc>
          <w:tcPr>
            <w:tcW w:w="9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Probability of success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760" w:type="dxa"/>
            <w:vAlign w:val="bottom"/>
          </w:tcPr>
          <w:p>
            <w:pPr>
              <w:spacing w:after="0"/>
              <w:rPr>
                <w:sz w:val="15"/>
                <w:szCs w:val="15"/>
                <w:color w:val="auto"/>
              </w:rPr>
            </w:pPr>
          </w:p>
        </w:tc>
      </w:tr>
      <w:tr>
        <w:trPr>
          <w:trHeight w:val="18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contingent consideration (in $000s)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$10,225</w:t>
            </w:r>
          </w:p>
        </w:tc>
        <w:tc>
          <w:tcPr>
            <w:tcW w:w="760" w:type="dxa"/>
            <w:vAlign w:val="bottom"/>
            <w:shd w:val="clear" w:color="auto" w:fill="CCEEFF"/>
          </w:tcPr>
          <w:p>
            <w:pPr>
              <w:spacing w:after="0"/>
              <w:rPr>
                <w:sz w:val="15"/>
                <w:szCs w:val="15"/>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52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5"/>
          </w:tcPr>
          <w:p>
            <w:pPr>
              <w:jc w:val="right"/>
              <w:ind w:right="69"/>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tcBorders>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122,623</w:t>
            </w:r>
          </w:p>
        </w:tc>
        <w:tc>
          <w:tcPr>
            <w:tcW w:w="20" w:type="dxa"/>
            <w:vAlign w:val="bottom"/>
          </w:tcPr>
          <w:p>
            <w:pPr>
              <w:spacing w:after="0"/>
              <w:rPr>
                <w:sz w:val="14"/>
                <w:szCs w:val="14"/>
                <w:color w:val="auto"/>
              </w:rPr>
            </w:pP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top w:val="single" w:sz="8" w:color="auto"/>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20" w:type="dxa"/>
            <w:vAlign w:val="bottom"/>
          </w:tcPr>
          <w:p>
            <w:pPr>
              <w:spacing w:after="0"/>
              <w:rPr>
                <w:sz w:val="14"/>
                <w:szCs w:val="14"/>
                <w:color w:val="auto"/>
              </w:rPr>
            </w:pPr>
          </w:p>
        </w:tc>
      </w:tr>
      <w:tr>
        <w:trPr>
          <w:trHeight w:val="57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Borders>
              <w:bottom w:val="single" w:sz="8" w:color="auto"/>
            </w:tcBorders>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2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2023</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5"/>
          </w:tcPr>
          <w:p>
            <w:pPr>
              <w:jc w:val="right"/>
              <w:ind w:right="49"/>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gridSpan w:val="2"/>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marketable securities, non-current</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132,287</w:t>
            </w:r>
          </w:p>
        </w:tc>
        <w:tc>
          <w:tcPr>
            <w:tcW w:w="20" w:type="dxa"/>
            <w:vAlign w:val="bottom"/>
            <w:tcBorders>
              <w:top w:val="single" w:sz="8" w:color="auto"/>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5"/>
                <w:szCs w:val="15"/>
                <w:color w:val="auto"/>
              </w:rPr>
            </w:pPr>
          </w:p>
        </w:tc>
        <w:tc>
          <w:tcPr>
            <w:tcW w:w="94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20" w:type="dxa"/>
            <w:vAlign w:val="bottom"/>
            <w:tcBorders>
              <w:top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The following table presents the changes in fair value of the Company’s contingent consideration: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Liability at beginning of the period</w:t>
            </w:r>
          </w:p>
        </w:tc>
        <w:tc>
          <w:tcPr>
            <w:tcW w:w="3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Increase in fair value of liability</w:t>
            </w:r>
          </w:p>
        </w:tc>
        <w:tc>
          <w:tcPr>
            <w:tcW w:w="3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Liability at end of the period</w:t>
            </w:r>
          </w:p>
        </w:tc>
      </w:tr>
      <w:tr>
        <w:trPr>
          <w:trHeight w:val="154"/>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jc w:val="right"/>
              <w:ind w:right="79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8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7,600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2,625</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r>
      <w:tr>
        <w:trPr>
          <w:trHeight w:val="184"/>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7,531</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r>
    </w:tbl>
    <w:p>
      <w:pPr>
        <w:spacing w:after="0" w:line="2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Investments in marketable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marketable securities and cash equivalents consisted of the following:</w:t>
      </w:r>
    </w:p>
    <w:p>
      <w:pPr>
        <w:spacing w:after="0" w:line="109"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14"/>
                <w:szCs w:val="14"/>
                <w:b w:val="1"/>
                <w:bCs w:val="1"/>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14"/>
                <w:szCs w:val="14"/>
                <w:b w:val="1"/>
                <w:bCs w:val="1"/>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7"/>
        </w:trPr>
        <w:tc>
          <w:tcPr>
            <w:tcW w:w="20" w:type="dxa"/>
            <w:vAlign w:val="bottom"/>
          </w:tcPr>
          <w:p>
            <w:pPr>
              <w:spacing w:after="0"/>
              <w:rPr>
                <w:sz w:val="9"/>
                <w:szCs w:val="9"/>
                <w:color w:val="auto"/>
              </w:rPr>
            </w:pPr>
          </w:p>
        </w:tc>
        <w:tc>
          <w:tcPr>
            <w:tcW w:w="398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3"/>
          </w:tcPr>
          <w:p>
            <w:pPr>
              <w:ind w:left="1180"/>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Money market fund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253"/>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30,797</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treasury bills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55,496</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r>
    </w:tbl>
    <w:p>
      <w:pPr>
        <w:spacing w:after="0" w:line="102" w:lineRule="exact"/>
        <w:rPr>
          <w:sz w:val="20"/>
          <w:szCs w:val="20"/>
          <w:color w:val="auto"/>
        </w:rPr>
      </w:pPr>
    </w:p>
    <w:p>
      <w:pPr>
        <w:ind w:left="420" w:hanging="125"/>
        <w:spacing w:after="0"/>
        <w:tabs>
          <w:tab w:leader="none" w:pos="420" w:val="left"/>
        </w:tabs>
        <w:numPr>
          <w:ilvl w:val="0"/>
          <w:numId w:val="4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Gross unrealized gain (loss) is pre-tax and is reported in accumulated other comprehensive loss.</w:t>
      </w:r>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7"/>
                <w:szCs w:val="7"/>
                <w:b w:val="1"/>
                <w:bCs w:val="1"/>
                <w:color w:val="auto"/>
              </w:rPr>
              <w:t>(1)</w:t>
            </w: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7"/>
                <w:szCs w:val="7"/>
                <w:b w:val="1"/>
                <w:bCs w:val="1"/>
                <w:color w:val="auto"/>
              </w:rPr>
              <w:t>(1)</w:t>
            </w: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17"/>
        </w:trPr>
        <w:tc>
          <w:tcPr>
            <w:tcW w:w="20" w:type="dxa"/>
            <w:vAlign w:val="bottom"/>
          </w:tcPr>
          <w:p>
            <w:pPr>
              <w:spacing w:after="0"/>
              <w:rPr>
                <w:sz w:val="10"/>
                <w:szCs w:val="10"/>
                <w:color w:val="auto"/>
              </w:rPr>
            </w:pPr>
          </w:p>
        </w:tc>
        <w:tc>
          <w:tcPr>
            <w:tcW w:w="39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2023</w:t>
            </w: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gridSpan w:val="5"/>
          </w:tcPr>
          <w:p>
            <w:pPr>
              <w:ind w:left="118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Money market fund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18,029</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18,029</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18,029</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government agency bonds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17,874</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70,886</w:t>
            </w: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Yankee bonds</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r>
      <w:tr>
        <w:trPr>
          <w:trHeight w:val="180"/>
        </w:trPr>
        <w:tc>
          <w:tcPr>
            <w:tcW w:w="20" w:type="dxa"/>
            <w:vAlign w:val="bottom"/>
          </w:tcPr>
          <w:p>
            <w:pPr>
              <w:spacing w:after="0"/>
              <w:rPr>
                <w:sz w:val="15"/>
                <w:szCs w:val="15"/>
                <w:color w:val="auto"/>
              </w:rPr>
            </w:pPr>
          </w:p>
        </w:tc>
        <w:tc>
          <w:tcPr>
            <w:tcW w:w="3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US government bonds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8,975</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99,964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99,718</w:t>
            </w:r>
          </w:p>
        </w:tc>
      </w:tr>
      <w:tr>
        <w:trPr>
          <w:trHeight w:val="154"/>
        </w:trPr>
        <w:tc>
          <w:tcPr>
            <w:tcW w:w="2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long-term securities</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w:t>
            </w:r>
          </w:p>
        </w:tc>
      </w:tr>
      <w:tr>
        <w:trPr>
          <w:trHeight w:val="175"/>
        </w:trPr>
        <w:tc>
          <w:tcPr>
            <w:tcW w:w="20" w:type="dxa"/>
            <w:vAlign w:val="bottom"/>
          </w:tcPr>
          <w:p>
            <w:pPr>
              <w:spacing w:after="0"/>
              <w:rPr>
                <w:sz w:val="15"/>
                <w:szCs w:val="15"/>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r>
    </w:tbl>
    <w:p>
      <w:pPr>
        <w:spacing w:after="0" w:line="98" w:lineRule="exact"/>
        <w:rPr>
          <w:sz w:val="20"/>
          <w:szCs w:val="20"/>
          <w:color w:val="auto"/>
        </w:rPr>
      </w:pPr>
    </w:p>
    <w:p>
      <w:pPr>
        <w:ind w:left="380" w:hanging="120"/>
        <w:spacing w:after="0"/>
        <w:tabs>
          <w:tab w:leader="none" w:pos="380" w:val="left"/>
        </w:tabs>
        <w:numPr>
          <w:ilvl w:val="0"/>
          <w:numId w:val="4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Gross unrealized gain (loss) is pre-tax and is reported in accumulated other comprehensive loss.</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contractual maturity of the $86.3 million of short-term marketable securities held by the Company as of December 31, 2024 is less than one year. As of December 31, 2024, the Company did not hold any long-term marketable securities. As of December 31, 2023, the Company’s $99.7 million of short-term marketable securities had contractual maturities of less than one year, while the Company’s $6.3 million of long-term marketable securities had maturities of more than one year, but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88" w:name="page89"/>
    <w:bookmarkEnd w:id="88"/>
    <w:p>
      <w:pPr>
        <w:jc w:val="both"/>
        <w:spacing w:after="0" w:line="264" w:lineRule="auto"/>
        <w:rPr>
          <w:sz w:val="20"/>
          <w:szCs w:val="20"/>
          <w:color w:val="auto"/>
        </w:rPr>
      </w:pPr>
      <w:r>
        <w:rPr>
          <w:rFonts w:ascii="Times New Roman" w:cs="Times New Roman" w:eastAsia="Times New Roman" w:hAnsi="Times New Roman"/>
          <w:sz w:val="14"/>
          <w:szCs w:val="14"/>
          <w:color w:val="auto"/>
        </w:rPr>
        <w:t>At December 31, 2024 and December 31, 2023, the Company had 6 and 27,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Accrued interest receivable on investments in marketable securities was $0.3 million and $0.6 million at December 31, 2024 and 2023, respectively, and is included in prepaid expenses and other current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realized gains on investments of less than $0.1 million for both of the years ended December 31, 2024 and 2023.</w:t>
      </w:r>
    </w:p>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Investment in Genevant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2018, the Company entered into an agreement with Roivant Sciences Ltd. (Roivant), its largest shareholder, to launch Genevant Sciences Ltd. (Genevant), a company focused on nucleic acid- and gene editing-based therapeutics enabled by the Company’s LNP and ligand conjugate delivery technologies. The Company licensed rights to its LNP and ligand conjugate delivery platforms to Genevant outside of HBV, except to the extent certain rights had already been licensed to other third parties (the Genevant License). The Company retained all rights to its LNP and conjugate delivery platforms for HBV.</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December 31, 2024 and 2023, the carrying value of the Company’s investment in Genevant was zero and the Company owned approximately 16% of the common equity of Genevant.</w:t>
      </w:r>
    </w:p>
    <w:p>
      <w:pPr>
        <w:spacing w:after="0" w:line="15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Leases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had one operating lease for its office and laboratory space as of December 31, 2024. The Company’s corporate headquarters is located at 701 Veterans Circle, Warminster, Pennsylvania. The lease expires on April 30, 2027, and the Company has the option of extending the lease for two additional five-year terms.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lease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 does not provide an implicit rate so in determining the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89" w:name="page90"/>
    <w:bookmarkEnd w:id="89"/>
    <w:p>
      <w:pPr>
        <w:spacing w:after="0" w:line="263" w:lineRule="auto"/>
        <w:rPr>
          <w:sz w:val="20"/>
          <w:szCs w:val="20"/>
          <w:color w:val="auto"/>
        </w:rPr>
      </w:pPr>
      <w:r>
        <w:rPr>
          <w:rFonts w:ascii="Times New Roman" w:cs="Times New Roman" w:eastAsia="Times New Roman" w:hAnsi="Times New Roman"/>
          <w:sz w:val="14"/>
          <w:szCs w:val="14"/>
          <w:color w:val="auto"/>
        </w:rPr>
        <w:t>value of lease payments, the Company utilized its incremental borrowing rate for the lease, which was 9.0%. The Company recognizes lease expense on a straight-line basis over the remaining lease term.</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During the years ended December 31, 2024 and 2023, the Company incurred total operating lease expenses of $0.7 million and $0.6 million, respectively, which included lease expenses associated with fixed lease payments of $0.5 million in both years, and variable payments associated with common area maintenance and similar expenses of $0.2 million in both years.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 average remaining lease term and discount rate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500" w:type="dxa"/>
            <w:vAlign w:val="bottom"/>
            <w:tcBorders>
              <w:bottom w:val="single" w:sz="8" w:color="auto"/>
            </w:tcBorders>
          </w:tcPr>
          <w:p>
            <w:pPr>
              <w:spacing w:after="0"/>
              <w:rPr>
                <w:sz w:val="13"/>
                <w:szCs w:val="13"/>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rPr>
              <w:t>2.3</w:t>
            </w:r>
          </w:p>
        </w:tc>
        <w:tc>
          <w:tcPr>
            <w:tcW w:w="500" w:type="dxa"/>
            <w:vAlign w:val="bottom"/>
            <w:shd w:val="clear" w:color="auto" w:fill="CCEEFF"/>
          </w:tcPr>
          <w:p>
            <w:pPr>
              <w:spacing w:after="0"/>
              <w:rPr>
                <w:sz w:val="15"/>
                <w:szCs w:val="15"/>
                <w:color w:val="auto"/>
              </w:rPr>
            </w:pPr>
          </w:p>
        </w:tc>
      </w:tr>
      <w:tr>
        <w:trPr>
          <w:trHeight w:val="184"/>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jc w:val="right"/>
              <w:ind w:right="636"/>
              <w:spacing w:after="0"/>
              <w:rPr>
                <w:sz w:val="20"/>
                <w:szCs w:val="20"/>
                <w:color w:val="auto"/>
              </w:rPr>
            </w:pPr>
            <w:r>
              <w:rPr>
                <w:rFonts w:ascii="Times New Roman" w:cs="Times New Roman" w:eastAsia="Times New Roman" w:hAnsi="Times New Roman"/>
                <w:sz w:val="14"/>
                <w:szCs w:val="14"/>
                <w:color w:val="auto"/>
              </w:rPr>
              <w:t>9.0%</w:t>
            </w:r>
          </w:p>
        </w:tc>
        <w:tc>
          <w:tcPr>
            <w:tcW w:w="500" w:type="dxa"/>
            <w:vAlign w:val="bottom"/>
          </w:tcPr>
          <w:p>
            <w:pPr>
              <w:spacing w:after="0"/>
              <w:rPr>
                <w:sz w:val="16"/>
                <w:szCs w:val="16"/>
                <w:color w:val="auto"/>
              </w:rPr>
            </w:pPr>
          </w:p>
        </w:tc>
      </w:tr>
      <w:tr>
        <w:trPr>
          <w:trHeight w:val="29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did not include options to extend its lease terms as part of its ROU asset and lease liabilities.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the Company’s operating lease was as follows: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5"/>
        </w:trPr>
        <w:tc>
          <w:tcPr>
            <w:tcW w:w="770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20"/>
                <w:szCs w:val="20"/>
                <w:color w:val="auto"/>
              </w:rPr>
            </w:pPr>
          </w:p>
        </w:tc>
      </w:tr>
      <w:tr>
        <w:trPr>
          <w:trHeight w:val="154"/>
        </w:trPr>
        <w:tc>
          <w:tcPr>
            <w:tcW w:w="7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2"/>
          </w:tcPr>
          <w:p>
            <w:pPr>
              <w:jc w:val="right"/>
              <w:ind w:right="8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Pr>
          <w:p>
            <w:pPr>
              <w:spacing w:after="0"/>
              <w:rPr>
                <w:sz w:val="13"/>
                <w:szCs w:val="13"/>
                <w:color w:val="auto"/>
              </w:rPr>
            </w:pPr>
          </w:p>
        </w:tc>
      </w:tr>
      <w:tr>
        <w:trPr>
          <w:trHeight w:val="18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3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435"/>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Future minimum lease payments under the Company’s operating lease as of December 31, 2024 are as follows: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6"/>
        </w:trPr>
        <w:tc>
          <w:tcPr>
            <w:tcW w:w="7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500" w:type="dxa"/>
            <w:vAlign w:val="bottom"/>
            <w:tcBorders>
              <w:bottom w:val="single" w:sz="8" w:color="auto"/>
            </w:tcBorders>
          </w:tcPr>
          <w:p>
            <w:pPr>
              <w:spacing w:after="0"/>
              <w:rPr>
                <w:sz w:val="21"/>
                <w:szCs w:val="21"/>
                <w:color w:val="auto"/>
              </w:rPr>
            </w:pPr>
          </w:p>
        </w:tc>
      </w:tr>
      <w:tr>
        <w:trPr>
          <w:trHeight w:val="149"/>
        </w:trPr>
        <w:tc>
          <w:tcPr>
            <w:tcW w:w="7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Pr>
          <w:p>
            <w:pPr>
              <w:spacing w:after="0"/>
              <w:rPr>
                <w:sz w:val="12"/>
                <w:szCs w:val="12"/>
                <w:color w:val="auto"/>
              </w:rPr>
            </w:pP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lease payments</w:t>
            </w: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8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0" w:name="page91"/>
    <w:bookmarkEnd w:id="90"/>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property and equipment balances as of the years ended December 31, 2024 and 2023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16,305</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6"/>
              </w:rPr>
              <w:t>(12,996)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6"/>
              </w:rPr>
              <w:t>(11,900)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2024 and 2023 was $1.4 million for both years.</w:t>
            </w: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8.  Accounts payable and accrued liabilities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 and accrued liabilities are comprised of the following:</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500" w:type="dxa"/>
            <w:vAlign w:val="bottom"/>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Payroll accruals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accruals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Professional fee accruals</w:t>
            </w:r>
          </w:p>
        </w:tc>
        <w:tc>
          <w:tcPr>
            <w:tcW w:w="6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July 29, 2024, the Board approved a plan, effective August 1, 2024, to streamline the organization to focus its efforts on advancing the clinical development of imdusiran and AB-101, and therefore ceased all discovery efforts and discontinued its IM-PROVE III clinical trial. In taking these steps to streamline the organization, the Company implemented a 40% reduction in its workforce, primarily affecting the discovery and general and administrative functions. As a result, the Company recorded a one-time restructuring charge of $3.7 million in the third quarter of 2024, of which there was less than $0.1 million in medical benefit costs accrued as of December 31, 2024.</w:t>
      </w:r>
    </w:p>
    <w:p>
      <w:pPr>
        <w:spacing w:after="0" w:line="36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Sale of future royalties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(Patisiran) (ONPATTRO), an RNA interference therapeutic currently being sold by Alnylam Pharmaceuticals, Inc. (Alnylam).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1" w:name="page92"/>
    <w:bookmarkEnd w:id="91"/>
    <w:p>
      <w:pPr>
        <w:jc w:val="both"/>
        <w:spacing w:after="0" w:line="259" w:lineRule="auto"/>
        <w:rPr>
          <w:sz w:val="20"/>
          <w:szCs w:val="20"/>
          <w:color w:val="auto"/>
        </w:rPr>
      </w:pPr>
      <w:r>
        <w:rPr>
          <w:rFonts w:ascii="Times New Roman" w:cs="Times New Roman" w:eastAsia="Times New Roman" w:hAnsi="Times New Roman"/>
          <w:sz w:val="14"/>
          <w:szCs w:val="14"/>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December 31, 2024, the Company estimated an effective annual interest rate of approximately 2.2%.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December 31, 2024, an aggregate of $25.0 million of royalties have been collected by OMERS. There are a number of factors that could materially affect the amount and timing of royalty payments from Alnylam, none of which are within the Company’s control.</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recognized non-cash royalty revenue of $2.3 million and $0.1 million of related non-cash interest expense. During the year ended December 31, 2023, the Company recognized non-cash royalty revenue of $3.9 million and related non-cash interest expense of $0.5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shows the activity related to the net liability for the years ended December 31, 2024 and December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c>
          <w:tcPr>
            <w:tcW w:w="130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40" w:type="dxa"/>
            <w:vAlign w:val="bottom"/>
            <w:gridSpan w:val="3"/>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3"/>
                <w:szCs w:val="13"/>
                <w:color w:val="auto"/>
              </w:rPr>
            </w:pPr>
          </w:p>
        </w:tc>
      </w:tr>
      <w:tr>
        <w:trPr>
          <w:trHeight w:val="18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beginning balance</w:t>
            </w: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royalty revenue</w:t>
            </w:r>
          </w:p>
        </w:tc>
        <w:tc>
          <w:tcPr>
            <w:tcW w:w="1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ending balance</w:t>
            </w:r>
          </w:p>
        </w:tc>
        <w:tc>
          <w:tcPr>
            <w:tcW w:w="1300" w:type="dxa"/>
            <w:vAlign w:val="bottom"/>
          </w:tcPr>
          <w:p>
            <w:pPr>
              <w:jc w:val="right"/>
              <w:ind w:right="115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8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w:t>
            </w:r>
          </w:p>
        </w:tc>
      </w:tr>
    </w:tbl>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3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Contingencies and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Purchase Agreement with Enantigen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the Company’s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Arbutus for the treatment of HBV, regardless of whether such product is based upon assets acquired under this agreement, and a low single-digit royalty on net sales of such first commercialized HBV product, up to a maximum royalty payment of $1.0 million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92" w:name="page93"/>
    <w:bookmarkEnd w:id="92"/>
    <w:p>
      <w:pPr>
        <w:jc w:val="both"/>
        <w:spacing w:after="0" w:line="287" w:lineRule="auto"/>
        <w:rPr>
          <w:sz w:val="20"/>
          <w:szCs w:val="20"/>
          <w:color w:val="auto"/>
        </w:rPr>
      </w:pPr>
      <w:r>
        <w:rPr>
          <w:rFonts w:ascii="Times New Roman" w:cs="Times New Roman" w:eastAsia="Times New Roman" w:hAnsi="Times New Roman"/>
          <w:sz w:val="14"/>
          <w:szCs w:val="14"/>
          <w:color w:val="auto"/>
        </w:rPr>
        <w:t>paid, would be offset against Arbutus’ milestone payment obligations. Certain other development milestones related to the acquisition were tied to programs which are no longer under development by Arbutus, and therefore the contingency related to those development milestones is zero.</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contingent consideration was $10.2 million as of December 31, 2024.</w:t>
      </w:r>
    </w:p>
    <w:p>
      <w:pPr>
        <w:spacing w:after="0" w:line="3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Collaborations and royalty entitlements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Pharmaceuticals Co, Ltd.</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December 2021, the Company entered into a technology transfer and exclusive licensing agreement (the License Agreement) with Qilu, pursuant to which the Company granted Qilu an exclusive (except as to certain retained rights), sublicensable, royalty-bearing license, under certain intellectual property owned by the Company, to develop, manufacture and commercialize imdusiran, including pharmaceutical products that include imdusiran, for the treatment or prevention of hepatitis B in China, Hong Kong, Macau and Taiwan (Greater China and Taiwan).</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partial consideration for the rights granted by the Company, Qilu paid the Company a one-time upfront cash payment of $40.0 million on January 5, 2022 and agreed to pay the Company up to $245 million, net of withholding taxes, upon the achievement of certain technology transfer, development, regulatory and commercialization milestones (the Milestone Payments). Qilu paid $4.4 million of withholding taxes to the Chinese taxing authority on the Company’s behalf, related to the upfront cash payment. In addition, Qilu also agreed to pay the Company double digit royalties into the low twenties percent based upon annual net sales of imdusiran in Greater China and Taiwan. The royalties are payable on a product-by-product and region-by-region basis, subject to certain limitations.</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is responsible for all costs related to developing, obtaining regulatory approval for, and commercializing imdusiran for the treatment or prevention of hepatitis B in Greater China and Taiwan. Qilu is required to use commercially reasonable efforts to develop, seek regulatory approval for, and commercialize at least one imdusiran product candidate in Greater China and Taiwan.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Greater China and Taiwan until the Company has completed manufacturing technology transfer to Qilu and Qilu has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Company’s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Company’s common shares outstanding immediately prior to the execution of the Share Purchase Agreement.</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(the Qilu License); and (ii) drug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4"/>
          <w:szCs w:val="14"/>
          <w:color w:val="auto"/>
        </w:rPr>
        <w:t>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determined the initial transaction price of the combined performance obligation to be $50.4 million, which includes the $40.0 million upfront fee, $4.4 million of withholding taxes paid by Qilu on behalf of the Company and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outlines the transaction price and the changes to the related liability balance: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vMerge w:val="restart"/>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Transaction Price</w:t>
            </w:r>
          </w:p>
        </w:tc>
        <w:tc>
          <w:tcPr>
            <w:tcW w:w="240" w:type="dxa"/>
            <w:vAlign w:val="bottom"/>
          </w:tcPr>
          <w:p>
            <w:pPr>
              <w:spacing w:after="0"/>
              <w:rPr>
                <w:sz w:val="11"/>
                <w:szCs w:val="11"/>
                <w:color w:val="auto"/>
              </w:rPr>
            </w:pPr>
          </w:p>
        </w:tc>
        <w:tc>
          <w:tcPr>
            <w:tcW w:w="214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Cumulative Collaboration Revenue</w:t>
            </w:r>
          </w:p>
        </w:tc>
        <w:tc>
          <w:tcPr>
            <w:tcW w:w="280" w:type="dxa"/>
            <w:vAlign w:val="bottom"/>
          </w:tcPr>
          <w:p>
            <w:pPr>
              <w:spacing w:after="0"/>
              <w:rPr>
                <w:sz w:val="11"/>
                <w:szCs w:val="11"/>
                <w:color w:val="auto"/>
              </w:rPr>
            </w:pPr>
          </w:p>
        </w:tc>
        <w:tc>
          <w:tcPr>
            <w:tcW w:w="19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Deferred License Revenue</w:t>
            </w: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Recognized</w:t>
            </w: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Combined performance obligation</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50,445</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38,038</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12,407</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contract asset</w:t>
            </w:r>
          </w:p>
        </w:tc>
        <w:tc>
          <w:tcPr>
            <w:tcW w:w="3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license revenue</w:t>
            </w:r>
          </w:p>
        </w:tc>
        <w:tc>
          <w:tcPr>
            <w:tcW w:w="3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10,434</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$1.4 million of revenue based on labor hours expended by the Company on its Manufacturing Obligations during the twelve months ended December 31, 2024, and $10.7 million during the twelve months ended December 31, 2023.</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balance of the deferred license revenue was $10.4 million, of which $7.6 million was classified as a current liability and $2.9 million was classified as a non-current liability. The $4.4 million of withholding taxes paid by Qilu on behalf of the Company was recorded as income tax expense during the twelve months ended December 31, 2022.</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less than $0.1 million of related amortization expense for the twelve months ended December 31, 2024.</w:t>
      </w: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Assembly Biosciences, Inc.</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August 2020, the Company entered into a clinical collaboration agreement with Assembly Biosciences, Inc. (Assembly) to evaluate imdusiran in combination with Assembly’s first-generation HBV core inhibitor (capsid inhibitor) candidate vebicorvir (VBR) and standard-of-care NA therapy for the treatment of patients with HBV infection. Assembly has completed enrollment in the clinical trial. In July 2022, Assembly announced its plan to discontinue development of VBR. Despite this, in consultation with Assembly, the Company continued dosing patients in this Phase 2a proof-of-concept clinical trial in order to fully and accurately assess the results. Preliminary data from 65 patients indicated that adding VBR to imdusiran and NA therapy does not positively or negatively impact the reduction of HBsAg compared to imdusiran and NA therapy alone. Accordingly, the Company and Assembly mutually agreed to discontinue the clinical trial following completion of the final,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4" w:name="page95"/>
    <w:bookmarkEnd w:id="94"/>
    <w:p>
      <w:pPr>
        <w:jc w:val="both"/>
        <w:spacing w:after="0" w:line="270" w:lineRule="auto"/>
        <w:rPr>
          <w:sz w:val="20"/>
          <w:szCs w:val="20"/>
          <w:color w:val="auto"/>
        </w:rPr>
      </w:pPr>
      <w:r>
        <w:rPr>
          <w:rFonts w:ascii="Times New Roman" w:cs="Times New Roman" w:eastAsia="Times New Roman" w:hAnsi="Times New Roman"/>
          <w:sz w:val="14"/>
          <w:szCs w:val="14"/>
          <w:color w:val="auto"/>
        </w:rPr>
        <w:t>treatment visit at week 48. The Company and Assembly shared in the costs of the collaboration. The Company did not incur any costs related to the collaboration in 2024, and incurred $1.3 million of costs related to the collaboration during 2023. Such costs were reflected in research and development in the statements of operations and comprehensive loss. Except to the extent necessary to carry out Assembly’s responsibilities with respect to the collaboration trial, the Company has not provided any license grant to Assembly for use of imdusiran.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Barinthus Biotherapeutics plc</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In July 2021, the Company entered into a clinical collaboration agreement with Barinthus Biotherapeutics plc (Barinthus) to evaluate imdusiran followed by Barinthus’ VTP-300, an HBV antigen specific immunotherapy, and ongoing nucleos(t)ide analogue therapy in patients with cHBV infection. Subsequently, the clinical trial was amended to include an additional treatment arm with an approved PD-1 monoclonal antibody inhibitor,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split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after the completion of their ongoing VTP-300 clinical trials. The parties do not intend to undertake a larger Phase 2b with this combination treatment regimen.</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incurred $2.1 million and $1.8 million of costs related to the collaboration, net of Barinthus’s 50% share, during the years ended December 31, 2024 and 2023, respectively, which are classified as research and development in the statements of operations and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Royalty Entitlements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and Acuitas Therapeutics,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two royalty entitlements to Alnylam’s global net sales of ONPATTRO.</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2012, the Company entered into a license agreement with Alnylam Pharmaceuticals, Inc. (Alnylam) that entitles Alnylam to develop and commercialize products with the Company’s LNP technology. Alnylam’s ONPATTRO, which represents the first approved application of the Company’s LNP technology, was launched by Alnylam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December 31, 2024, an aggregate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$25.0 million of royalties have been earned by OMERS. See note 9 for further details.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has rights to a second royalty interest ranging from 0.75% to 1.125% on global net sales of ONPATTRO, with 0.75% applying to sales greater than $500 million, originating from a settlement agreement and subsequent license agreement with Acuitas Therapeutics, Inc.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color w:val="auto"/>
        </w:rPr>
        <w:t>Gritstone Oncology, Inc.</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16, 2017, the Company entered into a license agreement with Gritstone that granted them worldwide access to its portfolio of proprietary and clinically validated LNP technology and associated intellectual property to deliver Gritstone’s self-replicating, non-mRNA, RNA-based neoantigen immunotherapy products. Gritstone paid the Company an upfront payment, and will make payments for achievement of development, regulatory, and commercial milestones and royalties. As a result of the Company’s agreement with Genevant (see note 5 for details), from April 11, 2018 going forward, Genevant is entitled to 50% of the revenues earned by the Company from Gritstone. Gritstone filed for Chapter 11 bankruptcy protection in October 2024, which resulted in Seattle Project Corp. purchasing most of the assets of Gritstone, including the rights under this license agreement. There was no change to the Company’s rights under this license agreement as a result of the bankruptcy and sale of assets.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the agent in this arrangement and records revenue on a net basis. Milestone payments that are not within the control of the Company or the licensee, such as those that require regulatory approvals, are not considered probable of being achieved until those approvals are received. The Company did not receive any payments from Gritstone during the years ended December 31, 2024 or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from the Company’s royalty entitlements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4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0"/>
        </w:trPr>
        <w:tc>
          <w:tcPr>
            <w:tcW w:w="8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w:t>
            </w: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w:t>
            </w: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w:t>
            </w:r>
          </w:p>
        </w:tc>
      </w:tr>
      <w:tr>
        <w:trPr>
          <w:trHeight w:val="17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18,141</w:t>
            </w:r>
          </w:p>
        </w:tc>
      </w:tr>
    </w:tbl>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Shareholders’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 capital</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authorized share capital consists of an unlimited number of common shares and preferred shares, without par value, and 1,164,000 Series A participating convertible preferred shares, without par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 Market Sale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Effective March 26, 2025, the Company terminated its Open Market Sale Agreement with Jefferies LLC (Jefferies) dated December 20, 2018, as amended by Amendment No. 1, dated December 20, 2019, Amendment No. 2, dated August 7, 2020 and Amendment No. 3, dated March 4, 2021 (as amended, the Sale Agreement), under which the Company could issue and sell common shares, from time to time.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Previously, on November 6, 2024, the Company filed: i) a shelf registration statement on Form S-3 with the SEC (File No. 333-283038) with an accompanying base prospectus, declared effective by the SEC on December 5, 2024 (the December 2024 Registration Statement), for the offer and sale of up to $300.0 million of the Company’s securities; and ii) a prospectus supplement with the SEC in connection with the offering of up to $100.0 million of the Company’s common shares pursuant to the Sale Agreement under the December 2024 Registration Statement (the December 2024 Prospectus Supplement). The Company did not utilize any of the December 2024 Prospectus Supplement pursuant to the Sale Agreement prior to the termination of the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6" w:name="page97"/>
    <w:bookmarkEnd w:id="96"/>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2024 and 2023, the Company issued 16,499,999 and 12,020,257 common shares, respectively, under the Sale Agreement, resulting in net proceeds of approximately $44.1 million and $29.9 million, respectively.</w:t>
      </w: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Awards outstanding and available for issuance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2024, the Company had stock options outstanding under the following plans (collectively, the Plans): the 2016 Omnibus Share and Incentive Plan (the 2016 Plan), the 2011 Omnibus Share Compensation Plan (the 2011 Plan); the 2023 and 2019 inducement grants; and the OnCore Option Plan. During the year ended December 31, 2024, the Company had restricted stock units outstanding under the 2016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aggregate number of shares authorized for awards under all Plans was 41,790,202. As of December 31, 2024, the Company had 15,451,687 options and 1,493,136 restricted stock units outstanding and 16,674,175 awards available for issuance under the Plans.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issues new common shares of stock to settle options exercised.</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2011 Plan expired in June 2021. Under the 2016 Plan, the Board may grant options, and other types of awards, to employees, directors and consultants of the Company. The exercise price of the options is determined by the Board but will be at least equal to the closing market price of the common shares on the date of grant and the term may not exceed 10 years. Options granted generally vest over four years for employees and for directors’ initial grants, and immediately for directors’ annual grants.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June 2019, the Company provided an inducement grant of 1,112,000 options to its newly hired Chief Executive Officer. These options were awarded in a separate plan as non-qualified awards and were governed by the substantially the same terms as the 2016 Plan. As of December 31, 2024, there were no options outstanding under this separate plan, as all options under this plan were exercised during 2024. In July 2023, the Company provided an inducement grant of 500,000 options in connection with the hiring of its General Counsel and Chief Compliance Officer, which is governed by substantially the same terms as the 2016 Plan.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Hereafter, information on options governed by the 2016 Plan, the 2011 Plan and the 2023 and 2019 inducement grants (the Arbutus Plans) is presented on a consolidated basis as the terms of the plans are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 under the Arbutus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the Company’s equity-classified stock options for the year ended December 31, 2024:</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1880" w:type="dxa"/>
            <w:vAlign w:val="bottom"/>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3"/>
                <w:szCs w:val="13"/>
                <w:color w:val="auto"/>
              </w:rPr>
            </w:pPr>
          </w:p>
        </w:tc>
        <w:tc>
          <w:tcPr>
            <w:tcW w:w="186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Weighted-Average Exercise Price</w:t>
            </w:r>
          </w:p>
        </w:tc>
      </w:tr>
      <w:tr>
        <w:trPr>
          <w:trHeight w:val="180"/>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19,064,165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0"/>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8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(2,877,664)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8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Options forfeited, canceled or expired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(4,897,814)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7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15,451,687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intrinsic value of options exercised under the Arbutus Plans during 2024 and 2023 are $1.4 million and less than $0.1 million, respectively. The weighted average grant-date fair value of stock options granted during the year ended December 31, 2024 and 2023 was $1.87 and $2.15,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additional information related to the Company’s equity-classified stock options as of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50"/>
        </w:trPr>
        <w:tc>
          <w:tcPr>
            <w:tcW w:w="20" w:type="dxa"/>
            <w:vAlign w:val="bottom"/>
            <w:shd w:val="clear" w:color="auto" w:fill="CCEEFF"/>
          </w:tcPr>
          <w:p>
            <w:pPr>
              <w:spacing w:after="0"/>
              <w:rPr>
                <w:sz w:val="13"/>
                <w:szCs w:val="13"/>
                <w:color w:val="auto"/>
              </w:rPr>
            </w:pPr>
          </w:p>
        </w:tc>
        <w:tc>
          <w:tcPr>
            <w:tcW w:w="818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Options outstanding and expected to vest</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Number of stock options outstanding</w:t>
            </w:r>
          </w:p>
        </w:tc>
        <w:tc>
          <w:tcPr>
            <w:tcW w:w="5860" w:type="dxa"/>
            <w:vAlign w:val="bottom"/>
            <w:tcBorders>
              <w:top w:val="single" w:sz="8" w:color="CCEEFF"/>
            </w:tcBorders>
            <w:gridSpan w:val="2"/>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15,451,687</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20" w:type="dxa"/>
            <w:vAlign w:val="bottom"/>
          </w:tcPr>
          <w:p>
            <w:pPr>
              <w:spacing w:after="0"/>
              <w:rPr>
                <w:sz w:val="15"/>
                <w:szCs w:val="15"/>
                <w:color w:val="auto"/>
              </w:rPr>
            </w:pPr>
          </w:p>
        </w:tc>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Intrinsic value (in $000s)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term remaining</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years</w:t>
            </w:r>
          </w:p>
        </w:tc>
      </w:tr>
      <w:tr>
        <w:trPr>
          <w:trHeight w:val="149"/>
        </w:trPr>
        <w:tc>
          <w:tcPr>
            <w:tcW w:w="20" w:type="dxa"/>
            <w:vAlign w:val="bottom"/>
          </w:tcPr>
          <w:p>
            <w:pPr>
              <w:spacing w:after="0"/>
              <w:rPr>
                <w:sz w:val="12"/>
                <w:szCs w:val="12"/>
                <w:color w:val="auto"/>
              </w:rPr>
            </w:pPr>
          </w:p>
        </w:tc>
        <w:tc>
          <w:tcPr>
            <w:tcW w:w="8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Vested stock options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8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Number of vested stock options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10,777,302</w:t>
            </w:r>
          </w:p>
        </w:tc>
      </w:tr>
      <w:tr>
        <w:trPr>
          <w:trHeight w:val="180"/>
        </w:trPr>
        <w:tc>
          <w:tcPr>
            <w:tcW w:w="20" w:type="dxa"/>
            <w:vAlign w:val="bottom"/>
          </w:tcPr>
          <w:p>
            <w:pPr>
              <w:spacing w:after="0"/>
              <w:rPr>
                <w:sz w:val="15"/>
                <w:szCs w:val="15"/>
                <w:color w:val="auto"/>
              </w:rPr>
            </w:pPr>
          </w:p>
        </w:tc>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Intrinsic value (in $000s)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r>
      <w:tr>
        <w:trPr>
          <w:trHeight w:val="184"/>
        </w:trPr>
        <w:tc>
          <w:tcPr>
            <w:tcW w:w="20" w:type="dxa"/>
            <w:vAlign w:val="bottom"/>
          </w:tcPr>
          <w:p>
            <w:pPr>
              <w:spacing w:after="0"/>
              <w:rPr>
                <w:sz w:val="16"/>
                <w:szCs w:val="16"/>
                <w:color w:val="auto"/>
              </w:rPr>
            </w:pPr>
          </w:p>
        </w:tc>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Weighted-average term remaining</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years</w:t>
            </w:r>
          </w:p>
        </w:tc>
      </w:tr>
      <w:tr>
        <w:trPr>
          <w:trHeight w:val="611"/>
        </w:trPr>
        <w:tc>
          <w:tcPr>
            <w:tcW w:w="82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assumptions used in the Black-Scholes option-pricing for grants made during the years ended December 31, 2024 and 2023 are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average option term</w:t>
            </w:r>
          </w:p>
        </w:tc>
        <w:tc>
          <w:tcPr>
            <w:tcW w:w="17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 years</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years</w:t>
            </w:r>
          </w:p>
        </w:tc>
      </w:tr>
      <w:tr>
        <w:trPr>
          <w:trHeight w:val="180"/>
        </w:trPr>
        <w:tc>
          <w:tcPr>
            <w:tcW w:w="20" w:type="dxa"/>
            <w:vAlign w:val="bottom"/>
          </w:tcPr>
          <w:p>
            <w:pPr>
              <w:spacing w:after="0"/>
              <w:rPr>
                <w:sz w:val="15"/>
                <w:szCs w:val="15"/>
                <w:color w:val="auto"/>
              </w:rPr>
            </w:pPr>
          </w:p>
        </w:tc>
        <w:tc>
          <w:tcPr>
            <w:tcW w:w="8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Expected volatility (historical)</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92.0 %</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97.1 %</w:t>
            </w:r>
          </w:p>
        </w:tc>
      </w:tr>
      <w:tr>
        <w:trPr>
          <w:trHeight w:val="180"/>
        </w:trPr>
        <w:tc>
          <w:tcPr>
            <w:tcW w:w="20" w:type="dxa"/>
            <w:vAlign w:val="bottom"/>
            <w:shd w:val="clear" w:color="auto" w:fill="CCEEFF"/>
          </w:tcPr>
          <w:p>
            <w:pPr>
              <w:spacing w:after="0"/>
              <w:rPr>
                <w:sz w:val="15"/>
                <w:szCs w:val="15"/>
                <w:color w:val="auto"/>
              </w:rPr>
            </w:pPr>
          </w:p>
        </w:tc>
        <w:tc>
          <w:tcPr>
            <w:tcW w:w="8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20" w:type="dxa"/>
            <w:vAlign w:val="bottom"/>
          </w:tcPr>
          <w:p>
            <w:pPr>
              <w:spacing w:after="0"/>
              <w:rPr>
                <w:sz w:val="16"/>
                <w:szCs w:val="16"/>
                <w:color w:val="auto"/>
              </w:rPr>
            </w:pPr>
          </w:p>
        </w:tc>
        <w:tc>
          <w:tcPr>
            <w:tcW w:w="8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available information when estimating the fair value of its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 under the other plans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no liability option awards outstanding and no stock option awards outstanding under the OnCore Option Plan, as the last of these stock option awards expired or were fully exercised, respectively, during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under the 2016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the Company’s restricted stock units, for the year ended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Weighted-Average Grant-Date Fair Value</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1,231,450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 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1,316,200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 forfeited, canceled or expired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(644,032)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7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1,493,136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bl>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restricted stock units vest over three years in equal annual installments beginning one year from the grant date. The weighted average grant-date fair value of restricted stock units granted during the years ended December 31, 2024 and 2023 was $2.40 and $2.90,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May 2020, the Company’s stockholders approved the 2020 Employee Stock Purchase Plan (the ESPP) which became effective on May 28, 2020. A total of 1,500,000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 period. The initial offering period under the ESPP was September 1, 2020 through August 31, 2021 with purchase dates set on February 26, 2021 and August 31, 2021, with subsequent offering periods beginning on September 1 and ending on August 31. The Company issued 227,333 and 290,438 shares under its ESPP for the years ended December 31, 2024 and 2023, respectively. As of December 31, 2024, there were 614,668 shares remaining for issuance under the ESPP. For both of the years ended December 31, 2024 and 2023, the Company recognized $0.1 million of stock-based compensation expense related to the ESPP. The fair value of the right to acquire stock at a discounted price under the ESPP is calculated using the Black-Scholes valuation model and recorded as stock-based compensation. Expense is recognized over the period the employee contributes to the plan through payroll deductions.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stock-based compensation expense was comprised of the vesting of options and restricted stock units awarded to employees under the Arbutus and OnCore Plans calculated in accordance with the fair value method as described above and amortization of compensation cost related to the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forfeitures as they occur, and the effects of forfeitures are reflected in stock-based compensation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has been recorded in the consolidated statement of operations and comprehensive loss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r>
      <w:tr>
        <w:trPr>
          <w:trHeight w:val="160"/>
        </w:trPr>
        <w:tc>
          <w:tcPr>
            <w:tcW w:w="7560" w:type="dxa"/>
            <w:vAlign w:val="bottom"/>
          </w:tcPr>
          <w:p>
            <w:pPr>
              <w:spacing w:after="0"/>
              <w:rPr>
                <w:sz w:val="13"/>
                <w:szCs w:val="13"/>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7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3"/>
                <w:szCs w:val="13"/>
                <w:color w:val="auto"/>
              </w:rPr>
            </w:pPr>
          </w:p>
        </w:tc>
      </w:tr>
      <w:tr>
        <w:trPr>
          <w:trHeight w:val="18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r>
      <w:tr>
        <w:trPr>
          <w:trHeight w:val="18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5,617</w:t>
            </w:r>
          </w:p>
        </w:tc>
      </w:tr>
      <w:tr>
        <w:trPr>
          <w:trHeight w:val="171"/>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9,301</w:t>
            </w: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At December 31, 2024, there remained $8.4 million and $2.4 million of unrecognized compensation expense related to unvested equity employee stock options and restricted stock units, respectively, to be recognized as expense over weighted-average periods of approximately 2.2 years and 1.8 years,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each of the years ended December 31, 2024 and 2023, the Company had zero performance-based stock compensation expense.</w:t>
      </w:r>
    </w:p>
    <w:p>
      <w:pPr>
        <w:spacing w:after="0" w:line="198" w:lineRule="exact"/>
        <w:rPr>
          <w:sz w:val="20"/>
          <w:szCs w:val="20"/>
          <w:color w:val="auto"/>
        </w:rPr>
      </w:pPr>
    </w:p>
    <w:p>
      <w:pPr>
        <w:ind w:left="360" w:hanging="355"/>
        <w:spacing w:after="0"/>
        <w:tabs>
          <w:tab w:leader="none" w:pos="36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Reporting</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loss that also is reported on the statement of operations and comprehensive loss as consolidated net loss. The chief operating decision maker uses net loss to monitor budget versus actual results and to evaluate the overall cash burn of the business.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60" w:type="dxa"/>
            <w:vAlign w:val="bottom"/>
            <w:tcBorders>
              <w:bottom w:val="single" w:sz="8" w:color="auto"/>
            </w:tcBorders>
          </w:tcPr>
          <w:p>
            <w:pPr>
              <w:spacing w:after="0"/>
              <w:rPr>
                <w:sz w:val="13"/>
                <w:szCs w:val="13"/>
                <w:color w:val="auto"/>
              </w:rPr>
            </w:pPr>
          </w:p>
        </w:tc>
      </w:tr>
      <w:tr>
        <w:trPr>
          <w:trHeight w:val="154"/>
        </w:trPr>
        <w:tc>
          <w:tcPr>
            <w:tcW w:w="7360" w:type="dxa"/>
            <w:vAlign w:val="bottom"/>
          </w:tcPr>
          <w:p>
            <w:pPr>
              <w:spacing w:after="0"/>
              <w:rPr>
                <w:sz w:val="13"/>
                <w:szCs w:val="1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60" w:type="dxa"/>
            <w:vAlign w:val="bottom"/>
          </w:tcPr>
          <w:p>
            <w:pPr>
              <w:spacing w:after="0"/>
              <w:rPr>
                <w:sz w:val="13"/>
                <w:szCs w:val="13"/>
                <w:color w:val="auto"/>
              </w:rPr>
            </w:pPr>
          </w:p>
        </w:tc>
      </w:tr>
      <w:tr>
        <w:trPr>
          <w:trHeight w:val="18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w:t>
            </w: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employee expense, lab supplies and overhead</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26,613</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34,637</w:t>
            </w:r>
          </w:p>
        </w:tc>
      </w:tr>
      <w:tr>
        <w:trPr>
          <w:trHeight w:val="180"/>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Imdusiran IM-PROVE I, II &amp; III clinical trials expense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15,735</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11,859</w:t>
            </w:r>
          </w:p>
        </w:tc>
      </w:tr>
      <w:tr>
        <w:trPr>
          <w:trHeight w:val="18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AB-101-001 Phase 1a/1b clinical trial expense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w:t>
            </w:r>
          </w:p>
        </w:tc>
      </w:tr>
      <w:tr>
        <w:trPr>
          <w:trHeight w:val="180"/>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Coronavirus early research expense</w:t>
            </w:r>
          </w:p>
        </w:tc>
        <w:tc>
          <w:tcPr>
            <w:tcW w:w="10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w:t>
            </w:r>
          </w:p>
        </w:tc>
      </w:tr>
      <w:tr>
        <w:trPr>
          <w:trHeight w:val="18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early research and development programs expense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r>
      <w:tr>
        <w:trPr>
          <w:trHeight w:val="180"/>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22,475</w:t>
            </w:r>
          </w:p>
        </w:tc>
      </w:tr>
      <w:tr>
        <w:trPr>
          <w:trHeight w:val="180"/>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expense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segment expense (1)</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7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17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loss</w:t>
            </w:r>
          </w:p>
        </w:tc>
        <w:tc>
          <w:tcPr>
            <w:tcW w:w="10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r>
        <w:trPr>
          <w:trHeight w:val="180"/>
        </w:trPr>
        <w:tc>
          <w:tcPr>
            <w:tcW w:w="7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 and reconciling items</w:t>
            </w:r>
          </w:p>
        </w:tc>
        <w:tc>
          <w:tcPr>
            <w:tcW w:w="108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1080" w:type="dxa"/>
            <w:vAlign w:val="bottom"/>
            <w:tcBorders>
              <w:top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(72,849)</w:t>
            </w:r>
          </w:p>
        </w:tc>
      </w:tr>
    </w:tbl>
    <w:p>
      <w:pPr>
        <w:spacing w:after="0" w:line="240" w:lineRule="exact"/>
        <w:rPr>
          <w:sz w:val="20"/>
          <w:szCs w:val="20"/>
          <w:color w:val="auto"/>
        </w:rPr>
      </w:pPr>
    </w:p>
    <w:p>
      <w:pPr>
        <w:ind w:left="460" w:hanging="200"/>
        <w:spacing w:after="0"/>
        <w:tabs>
          <w:tab w:leader="none" w:pos="46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 includes the change in the fair value of contingent consideration, non-cash interest expenses and foreign currency exchange gains and losses.</w:t>
      </w:r>
    </w:p>
    <w:p>
      <w:pPr>
        <w:spacing w:after="0" w:line="49"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4"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The Company is subject to taxation and files income tax returns in Canadian federal and provincial, United States federal and several state jurisdictions.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 expense varies from the amounts that would be computed by applying the combined Canadian federal and provincial income tax rate of 27% (2023 - 27%) to the loss before income taxes as shown in the following tables: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00" w:type="dxa"/>
            <w:vAlign w:val="bottom"/>
            <w:tcBorders>
              <w:bottom w:val="single" w:sz="8" w:color="auto"/>
            </w:tcBorders>
          </w:tcPr>
          <w:p>
            <w:pPr>
              <w:spacing w:after="0"/>
              <w:rPr>
                <w:sz w:val="13"/>
                <w:szCs w:val="13"/>
                <w:color w:val="auto"/>
              </w:rPr>
            </w:pPr>
          </w:p>
        </w:tc>
      </w:tr>
      <w:tr>
        <w:trPr>
          <w:trHeight w:val="154"/>
        </w:trPr>
        <w:tc>
          <w:tcPr>
            <w:tcW w:w="7640" w:type="dxa"/>
            <w:vAlign w:val="bottom"/>
          </w:tcPr>
          <w:p>
            <w:pPr>
              <w:spacing w:after="0"/>
              <w:rPr>
                <w:sz w:val="13"/>
                <w:szCs w:val="13"/>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3"/>
                <w:szCs w:val="13"/>
                <w:color w:val="auto"/>
              </w:rPr>
            </w:pPr>
          </w:p>
        </w:tc>
      </w:tr>
      <w:tr>
        <w:trPr>
          <w:trHeight w:val="18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taxes (benefits) at Canadian federal and provincial tax rates</w:t>
            </w: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(19,668)</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 taxes</w:t>
            </w:r>
          </w:p>
        </w:tc>
        <w:tc>
          <w:tcPr>
            <w:tcW w:w="1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and other differences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R&amp;D credit</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credit applied</w:t>
            </w:r>
          </w:p>
        </w:tc>
        <w:tc>
          <w:tcPr>
            <w:tcW w:w="1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and Provincial ITCs applied</w:t>
            </w:r>
          </w:p>
        </w:tc>
        <w:tc>
          <w:tcPr>
            <w:tcW w:w="1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18,425</w:t>
            </w:r>
          </w:p>
        </w:tc>
      </w:tr>
      <w:tr>
        <w:trPr>
          <w:trHeight w:val="18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Difference due to income taxed at foreign rates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had investment tax credits available to reduce Canadian federal income taxes of $7.1 million as of both December 31, 2024 and 2023, which expire between 2031 and 2037, and provincial income taxes of $2.0 million as of both December 31, 2024 and 2023, which expire between 2024 and 2027. The investment tax credits are accounted for under a flow-through method. In addition, the Company had research and development credits of $8.3 million as of December 31, 2024, and $7.3 million as of December 31, 2023, which expire between 2031 and 2038 and which can be used to reduce future taxable income in the United States.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had scientific research and experimental development expenditures of $61.9 million available for indefinite carry-forward as of both December 31, 2024 and 2023. The Company also had net operating losses of $150.8 million and $148.1 million as of December 31, 2024 and 2023, respectively, which are due to expire between 2035 and 2038 and which can be used to offset future taxable income in Canada.</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and 2023, the Company had $11.7 million of net operating losses due to expire in 2035 which can be used to offset future taxable income in the United States. United States net operating loss carryforwards arising in 2019 and future periods have an indefinite carryforward period. As of December 31, 2024, the Company had $260.0 million of net operating losses subject to an indefinite carryforward period which can be used to offset future taxable income in the United States.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ownership changes occurring on October 1, 2014 and March 4, 2015, the Company’s ability to use these losses may be limited under Internal Revenue Code Section 382. Losses incurred to date may be further limited if a subsequent change in control occurs.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generated $1.6 million of pre-tax domestic income and $68.4 million in pre-tax foreign losses, respectively, for the year ended December 31, 2024. The Company generated $14.8 million of pre-tax domestic income and $87.7 million in pre-tax foreign losses, respectively, for the year ended December 31, 2023. The Company used accumulated domestic net operating losses to offset the taxable income in both years.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required by the 2017 Tax Cuts and Jobs Act and effective in 2022, the deferred tax asset as of December 31, 2024 and 2023 included $33.7 million and $27.3 million, respectively, related to the mandatory capitalization and amortization of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and liabilities are shown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20" w:type="dxa"/>
            <w:vAlign w:val="bottom"/>
            <w:tcBorders>
              <w:bottom w:val="single" w:sz="8" w:color="auto"/>
            </w:tcBorders>
          </w:tcPr>
          <w:p>
            <w:pPr>
              <w:spacing w:after="0"/>
              <w:rPr>
                <w:sz w:val="13"/>
                <w:szCs w:val="13"/>
                <w:color w:val="auto"/>
              </w:rPr>
            </w:pPr>
          </w:p>
        </w:tc>
      </w:tr>
      <w:tr>
        <w:trPr>
          <w:trHeight w:val="154"/>
        </w:trPr>
        <w:tc>
          <w:tcPr>
            <w:tcW w:w="83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20" w:type="dxa"/>
            <w:vAlign w:val="bottom"/>
          </w:tcPr>
          <w:p>
            <w:pPr>
              <w:spacing w:after="0"/>
              <w:rPr>
                <w:sz w:val="13"/>
                <w:szCs w:val="13"/>
                <w:color w:val="auto"/>
              </w:rPr>
            </w:pPr>
          </w:p>
        </w:tc>
      </w:tr>
      <w:tr>
        <w:trPr>
          <w:trHeight w:val="18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(liabilities):</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loss carryforwards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96,075</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89,090</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Canadian research and development deductions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16,726</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Book amortization in excess of tax</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 recognized for tax purposes in excess of revenue recognized for accounting purposes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value in excess of accounting value in lease inducements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Canadian Federal investment tax credits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Canadian Provincial investment tax credits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Federal research and development credits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Deductible stock options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research and experimental expenditures capitalization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27,265</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175,426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163,711</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(175,426)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(163,711)</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March 2025, the Board took action to reduce the Company’s workforce by 57% resulting in a total workforce after reductions of 19 employees. The Board also decided to exit the Company’s corporate headquarters in Warminster, PA and to discontinue in-house scientific research. In connection with these actions, the Company expects to incur a one-time restructuring charge in the first quarter of 2025 of approximately $11 million to $13 million for cash severance and benefits and non-cash stock compensation expense and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(our principal executive officer) and Chief Financial Officer (our principal financial officer), concluded that, as of December 31, 2024,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not been changes in our internal control over financial reporting during the quarter ended December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Plans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2024, none of our directors or officers adopted, modified or terminated a “Rule 10b5-1 trading arrangement” or a “non-Rule 10b5-1 trading arrangement” as such terms are defined under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Chief Financial Officer Transition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25, 2025, our Board appointed Tuan Nguyen as our Chief Financial Officer, effective as of March 28, 2025.</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Mr. Nguyen, age 49, has almost two decades of experience in biopharma working on small molecules and AAV gene therapies. Most recently, from March 2022 to March 2025, he served as Chief Financial Officer of Kinevant Sciences, a clinical-stage biopharmaceutical company dedicated to treating rare inflammatory and autoimmune diseases. Prior to this, from May 2020 to March 2022, he was Vice President of Finance at Adverum Biotechnologies, a clinical-stage company that aims to establish gene therapy as a new standard of care for highly prevalent ocular diseases. Prior to that he held various senior finance leadership roles at Intarcia Therapeutics, FibroGen, and UCB. He has helped raise over $2 billion in dilutive and non dilutive capital. Mr. Nguyen earned his MBA with dual concentration in Finance and Entrepreneurship, Innovation, &amp; Change from Emory University.</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his appointment as our Chief Financial Officer, on March 25, 2025, we, through Arbutus Biopharma, Inc., our wholly-owned subsidiary (our Subsidiary), entered into an employment agreement with Mr. Nguyen (the Nguyen Employment Agreement), pursuant to which he will receive an annual base salary of $475,000 and will be eligible to receive a discretionary annual performance bonus, with a target annual value equal to 40% of his annual base salary. Mr. Nguyen will also receive an initial option grant of 750,000 common shares under the 2016 Plan. During his employment, Mr. Nguyen will be eligible to participate in our employee benefit plans and programs. In connection with the commencement of his employment, Mr. Nguyen will be required to enter into our standard Non-Disclosure, Invention Assignment and Restrictive Covenant Agreement.</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in the event Mr. Nguyen’s employment is terminated without “cause” or Mr. Nguyen resigns for “good reason” (each as defined in the Nguyen Employment Agreement), then, subject to Mr. Nguyen’s timely execution and non-revocation of a release of claims and continued compliance with applicable restrictive covenants, Mr. Nguyen will be entitled to receive (i) continued payment of his base salary for six months following the date of his termination, payable in accordance with customary payroll procedures and (ii) monthly reimbursement of COBRA premiums (less active employee rates) for six months following the date of his termination (or, if earlier, until the date Mr. Nguyen becomes eligible for coverage under a subsequent employer’s group health insurance plan).</w:t>
      </w:r>
    </w:p>
    <w:p>
      <w:pPr>
        <w:spacing w:after="0" w:line="3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Nguyen Employment Agreement does not purport to be complete and is qualified in its entirety by reference to the Nguyen Employment Agreement, a copy of which will be filed as an exhibit to our Quarterly Report on Form 10-Q for the three months ending March 31, 2025.</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are no arrangements or understandings between Mr. Nguyen and any other persons pursuant to which Mr. Nguyen was selected to be Chief Financial Officer. There are no family relationships between Mr. Nguyen and any of our directors or executive officers, and Mr. Nguyen has no direct or indirect interest in any transaction or proposed transaction required to be disclosed pursuant to Item 404(a) of Regulation 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Mr. Nguyen succeeds David C. Hastings, who will cease serving as our Chief Financial Officer effective as of the end of the day on March 27, 2025. Mr. Hastings was terminated from the Company without cause.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Chief Medical Officer Termination and Consulting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Karen Sims, M.D., Ph.D., our former Chief Medical Officer, was terminated without cause, effective as of March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color w:val="auto"/>
        </w:rPr>
        <w:t>General Counsel and Chief Compliance Officer Termination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 Christopher Naftzger, our former General Counsel and Chief Compliance Officer, was terminated without cause, effective as of March 25,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Michael J. McElhaugh Separation Agreement</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25, 2025, we, through our Subsidiary, entered into a Separation Agreement and General Release (the Separation Agreement) with Michael J. McElhaugh, our former President and Chief Executive Officer, which sets forth the terms of Mr. McElhaugh’s separation from the Company. In addition to what Mr. McElhaugh is entitled to pursuant to the terms of his existing employment agreement, as amended, pursuant to the terms of, and subject to compliance with, the Separation Agreement, the post-termination exercise period of any vested options to purchase our common shares held by Mr. McElhaugh as of the date of his termination will be extended from the current term of such options as set forth in the applicable award agreement (the McElhaugh Current Term) to the earlier of: (i) the McElhaugh Current Term; and (ii) February 23, 2026.</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Separation Agreement does not purport to be complete and is qualified in its entirety by reference to the Separation Agreement, a copy of which will be filed as an exhibit to our Quarterly Report on Form 10-Q for the three months ending March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Restructuring</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25, 2025, our Board committed to a course of action to (i) reduce our workforce by 57%, resulting in a total workforce after reductions of 19 employees, (ii) exit our corporate headquarters in Warminster, PA, and (iii) discontinue in-house scientific research. The determination to proceed with these actions was made as a result of our Board’s determination and plan to restructure our organization to optimize overall business performance.</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these actions, we expect to incur a one-time restructuring charge in the first quarter of 2025 of approximately $11 million to $13 million, consisting of: (i) $5.9 million to $6.3 million of employee severance and benefits cash expenditures; (ii) $1.5 million to $2.2 million of non-cash stock-based compensation expenses for employee equity award modifications; and (iii), in connection with the decision to exit our corporate headquarters, (a) $3.9 million to $4.2 million of non-cash impairment charges for laboratory equipment, leasehold improvements and our right-of-use asset and (b) $0.3 million to $0.4 million of cash lease-related operating expenses. Substantially all of the termination severance payments and other employee benefits costs are expected to be paid during the second quarter of 2025, with the remainder to be paid in the second half of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Termination of Open Market Sale Agreement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25, 2025, we provided notice of our termination, effective March 26, 2025, of that certain Open Market Sale Agreement, dated December 20, 2018, as amended (the Sale Agreement), with Jefferies LLC as placement agent (the Placement Agent). Pursuant to the terms of the Sale Agreement, we could offer for sale to the public our common shares from time to time in “at the market” offerings through the Placement Agent. We are not subject to any termination penalties related to the termination of the Sale Agreement. Following such termination, we may not offer or sell any additional shares of our common stock under the Sale Agreement or any related prospectus or prospectus supplement.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2025 Annual General Meeting of the Stockholders to be filed with the SEC within 120 days of the fiscal year ended December 31, 2024.</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by posting such information on the website address and location specified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2025 Annual General Meeting of the Stockholders to be filed with the SEC within 120 days of the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2025 Annual General Meeting of the Stockholders to be filed with the SEC within 120 days of the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2025 Annual General Meeting of the Stockholders to be filed with the SEC within 120 days of the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2025 Annual General Meeting of the Stockholders to be filed with the SEC within 120 days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40" w:type="dxa"/>
            <w:vAlign w:val="bottom"/>
            <w:gridSpan w:val="23"/>
          </w:tcPr>
          <w:p>
            <w:pPr>
              <w:ind w:left="240"/>
              <w:spacing w:after="0"/>
              <w:rPr>
                <w:sz w:val="20"/>
                <w:szCs w:val="20"/>
                <w:color w:val="auto"/>
              </w:rPr>
            </w:pPr>
            <w:r>
              <w:rPr>
                <w:rFonts w:ascii="Times New Roman" w:cs="Times New Roman" w:eastAsia="Times New Roman" w:hAnsi="Times New Roman"/>
                <w:sz w:val="14"/>
                <w:szCs w:val="14"/>
                <w:b w:val="1"/>
                <w:bCs w:val="1"/>
                <w:color w:val="auto"/>
              </w:rPr>
              <w:t>PART IV</w:t>
            </w:r>
          </w:p>
        </w:tc>
      </w:tr>
      <w:tr>
        <w:trPr>
          <w:trHeight w:val="361"/>
        </w:trPr>
        <w:tc>
          <w:tcPr>
            <w:tcW w:w="1146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r>
      <w:tr>
        <w:trPr>
          <w:trHeight w:val="246"/>
        </w:trPr>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1"/>
                <w:szCs w:val="21"/>
                <w:color w:val="auto"/>
              </w:rPr>
            </w:pPr>
          </w:p>
        </w:tc>
        <w:tc>
          <w:tcPr>
            <w:tcW w:w="10140" w:type="dxa"/>
            <w:vAlign w:val="bottom"/>
            <w:gridSpan w:val="29"/>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80"/>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40" w:type="dxa"/>
            <w:vAlign w:val="bottom"/>
            <w:tcBorders>
              <w:top w:val="single" w:sz="8" w:color="auto"/>
            </w:tcBorders>
            <w:gridSpan w:val="29"/>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Agreement and Plan of Merger and Reorganization, dated January 11, 2015, by and among Tekmira Pharmaceuticals Corporation, TKM Acquisition Corporation and OnCore</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Biopharma, Inc. (incorporated herein by reference to Exhibit 2.1 to the Registrant’s Current Report on Form 8-K/A, filed with the SEC on January 26,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Notice of Articles and Articles of the Company, as amended (incorporated herein by reference to Exhibit 3.1 to the Registrant’s Annual Report on Form 10-K for the year</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ended December 31, 2017, filed with the SEC on March 16,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Amendment to Articles of the Company (incorporated herein by reference to Exhibit 3.1 to the Registrant’s Quarterly Report on Form 10-Q for the quarter ended September</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30, 2018, filed with the SEC on November 7,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Description of Securities Registered Pursuant to Section 12 of the Securities Exchange Act of 1934.</w:t>
            </w:r>
          </w:p>
        </w:tc>
        <w:tc>
          <w:tcPr>
            <w:tcW w:w="4480" w:type="dxa"/>
            <w:vAlign w:val="bottom"/>
            <w:gridSpan w:val="22"/>
          </w:tcPr>
          <w:p>
            <w:pPr>
              <w:spacing w:after="0"/>
              <w:rPr>
                <w:sz w:val="18"/>
                <w:szCs w:val="18"/>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Form of Arbutus Biopharma Corporation Indemnity Agreement.</w:t>
            </w:r>
          </w:p>
        </w:tc>
        <w:tc>
          <w:tcPr>
            <w:tcW w:w="6480" w:type="dxa"/>
            <w:vAlign w:val="bottom"/>
            <w:gridSpan w:val="24"/>
          </w:tcPr>
          <w:p>
            <w:pPr>
              <w:spacing w:after="0"/>
              <w:rPr>
                <w:sz w:val="17"/>
                <w:szCs w:val="17"/>
                <w:color w:val="auto"/>
              </w:rPr>
            </w:pPr>
          </w:p>
        </w:tc>
      </w:tr>
      <w:tr>
        <w:trPr>
          <w:trHeight w:val="20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7"/>
                <w:szCs w:val="17"/>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License Agreement between the University of British Columbia and Inex Pharmaceuticals Corporation executed on July 30, 2001 (incorporated herein by reference to Exhibit</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2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4.</w:t>
              </w:r>
              <w:r>
                <w:rPr>
                  <w:rFonts w:ascii="Times New Roman" w:cs="Times New Roman" w:eastAsia="Times New Roman" w:hAnsi="Times New Roman"/>
                  <w:sz w:val="13"/>
                  <w:szCs w:val="13"/>
                  <w:u w:val="single" w:color="auto"/>
                  <w:color w:val="0000FF"/>
                </w:rPr>
                <w:t>17</w:t>
              </w:r>
              <w:r>
                <w:rPr>
                  <w:rFonts w:ascii="Times New Roman" w:cs="Times New Roman" w:eastAsia="Times New Roman" w:hAnsi="Times New Roman"/>
                  <w:sz w:val="13"/>
                  <w:szCs w:val="13"/>
                  <w:color w:val="0000FF"/>
                </w:rPr>
                <w:t xml:space="preserve"> to the Registrant’s Annual Report on Form 20-F for the year ended December 31, 2010, filed with the SEC on June 3, 2011).</w:t>
              </w:r>
            </w:hyperlink>
          </w:p>
        </w:tc>
        <w:tc>
          <w:tcPr>
            <w:tcW w:w="20" w:type="dxa"/>
            <w:vAlign w:val="bottom"/>
          </w:tcPr>
          <w:p>
            <w:pPr>
              <w:spacing w:after="0"/>
              <w:rPr>
                <w:sz w:val="10"/>
                <w:szCs w:val="10"/>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Amendment Agreement between the University of British Columbia and Inex Pharmaceuticals Corporation dated July 11, 2006 (incorporated herein by reference to Exhibit</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4.</w:t>
              </w:r>
              <w:r>
                <w:rPr>
                  <w:rFonts w:ascii="Times New Roman" w:cs="Times New Roman" w:eastAsia="Times New Roman" w:hAnsi="Times New Roman"/>
                  <w:sz w:val="13"/>
                  <w:szCs w:val="13"/>
                  <w:u w:val="single" w:color="auto"/>
                  <w:color w:val="0000FF"/>
                </w:rPr>
                <w:t>18</w:t>
              </w:r>
              <w:r>
                <w:rPr>
                  <w:rFonts w:ascii="Times New Roman" w:cs="Times New Roman" w:eastAsia="Times New Roman" w:hAnsi="Times New Roman"/>
                  <w:sz w:val="13"/>
                  <w:szCs w:val="13"/>
                  <w:color w:val="0000FF"/>
                </w:rPr>
                <w:t xml:space="preserve"> to the Registrant’s Annual Report on Form 20-F for the year ended December 31, 2010, filed with the SEC on June 3, 2011).</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Second Amendment Agreement between the University of British Columbia and Inex Pharmaceuticals Corporation dated January 8, 2007 (incorporated herein by reference</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94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to Exhibit 4.19 to the Registrant’s Annual Report on Form 20-F for the year ended December 31, 2010, filed with the SEC on June 3, 2011).</w:t>
              </w:r>
            </w:hyperlink>
          </w:p>
        </w:tc>
        <w:tc>
          <w:tcPr>
            <w:tcW w:w="198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Consent Agreement of the University of British Columbia to Inex/Alnylam Sublicense Agreement dated January 8, 2007 (incorporated herein by reference to Exhibit 4.20 to</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92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the Registrant’s Annual Report on Form 20-F for the year ended December 31, 2010, filed with the SEC on June 3, 2011).</w:t>
              </w:r>
            </w:hyperlink>
          </w:p>
        </w:tc>
        <w:tc>
          <w:tcPr>
            <w:tcW w:w="306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Settlement Agreement and General Release, by and among Tekmira Pharmaceuticals Corporation, Protiva Biotherapeutics Inc., Alnylam Pharmaceuticals, Inc., and AlCana</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Technologies, Inc., dated November 12, 2012 (incorporated herein by reference to Exhibit 4.26 to the Registrant’s Annual Report on Form 20-F for the year ended December</w:t>
              </w:r>
            </w:hyperlink>
          </w:p>
        </w:tc>
        <w:tc>
          <w:tcPr>
            <w:tcW w:w="40" w:type="dxa"/>
            <w:vAlign w:val="bottom"/>
            <w:gridSpan w:val="2"/>
          </w:tcPr>
          <w:p>
            <w:pPr>
              <w:spacing w:after="0"/>
              <w:rPr>
                <w:sz w:val="10"/>
                <w:szCs w:val="10"/>
                <w:color w:val="auto"/>
              </w:rPr>
            </w:pPr>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31, 2012, filed with the SEC on March 27, 2013).</w:t>
              </w:r>
            </w:hyperlink>
          </w:p>
        </w:tc>
        <w:tc>
          <w:tcPr>
            <w:tcW w:w="7220" w:type="dxa"/>
            <w:vAlign w:val="bottom"/>
            <w:tcBorders>
              <w:top w:val="single" w:sz="8" w:color="0000FF"/>
            </w:tcBorders>
            <w:gridSpan w:val="22"/>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Cross-License Agreement by and among Alnylam Pharmaceuticals, Inc., Tekmira Pharmaceuticals Corporation and Protiva Biotherapeutics Inc., dated November 12, 2012</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(incorporated herein by reference to Exhibit 4.27 to the Registrant’s Annual Report on Form 20-F for the year ended December 31, 2012, filed with the SEC on March 27,</w:t>
              </w:r>
            </w:hyperlink>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2013).</w:t>
              </w:r>
            </w:hyperlink>
          </w:p>
        </w:tc>
        <w:tc>
          <w:tcPr>
            <w:tcW w:w="24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Stock Purchase Agreement by and among OnCore Biopharma, Inc. and each of the stockholders of Enantigen Therapeutics, Inc., dated as of October 1, 2014 (incorporated</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herein by reference to Exhibit 10.3 to the Registrant’s Quarterly Report on Form 10-Q for the quarter ended March 31, 2015, filed with the SEC on May 6,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Amended 2011 Omnibus Share Compensation Plan (incorporated herein by reference to Exhibit 10.1 to the Registrant’s Quarterly Report on Form 10-Q for the quarter ended</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June 30, 2016, filed with the SEC on August 4, 2016).</w:t>
              </w:r>
            </w:hyperlink>
          </w:p>
        </w:tc>
        <w:tc>
          <w:tcPr>
            <w:tcW w:w="680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r>
      <w:tr>
        <w:trPr>
          <w:trHeight w:val="213"/>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10.10†</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Lease Agreement between the Company and ARE-PA Region No. 7, LLC dated August 9, 2016 (incorporated herein by reference to Exhibit 10.1 to the Registrant’s</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Quarterly Report on Form 10-Q for the quarter ended September 30, 2016, filed with the SEC on November 3, 2016).</w:t>
              </w:r>
            </w:hyperlink>
          </w:p>
        </w:tc>
        <w:tc>
          <w:tcPr>
            <w:tcW w:w="6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gridSpan w:val="8"/>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13"/>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10.11†</w:t>
            </w:r>
          </w:p>
        </w:tc>
        <w:tc>
          <w:tcPr>
            <w:tcW w:w="20" w:type="dxa"/>
            <w:vAlign w:val="bottom"/>
          </w:tcPr>
          <w:p>
            <w:pPr>
              <w:spacing w:after="0"/>
              <w:rPr>
                <w:sz w:val="18"/>
                <w:szCs w:val="18"/>
                <w:color w:val="auto"/>
              </w:rPr>
            </w:pPr>
          </w:p>
        </w:tc>
        <w:tc>
          <w:tcPr>
            <w:tcW w:w="10140" w:type="dxa"/>
            <w:vAlign w:val="bottom"/>
            <w:gridSpan w:val="29"/>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First Amendment to Lease Agreement between Arbutus Biopharma, Inc. and ARE-PA Region No. 7, LLC dated October 7, 2016 (incorporated herein by reference to Exhibit</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the Registrant’s Quarterly Report on Form 10-Q for the quarter ended September 30, 2016, filed with the SEC on November 3, 2016).</w:t>
              </w:r>
            </w:hyperlink>
          </w:p>
        </w:tc>
        <w:tc>
          <w:tcPr>
            <w:tcW w:w="1940" w:type="dxa"/>
            <w:vAlign w:val="bottom"/>
            <w:tcBorders>
              <w:top w:val="single" w:sz="8" w:color="0000FF"/>
            </w:tcBorders>
            <w:gridSpan w:val="8"/>
          </w:tcPr>
          <w:p>
            <w:pPr>
              <w:spacing w:after="0"/>
              <w:rPr>
                <w:sz w:val="10"/>
                <w:szCs w:val="10"/>
                <w:color w:val="auto"/>
              </w:rPr>
            </w:pPr>
          </w:p>
        </w:tc>
        <w:tc>
          <w:tcPr>
            <w:tcW w:w="180" w:type="dxa"/>
            <w:vAlign w:val="bottom"/>
            <w:gridSpan w:val="9"/>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26" w:right="3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rPr>
              <w:t>10.12</w:t>
            </w:r>
          </w:p>
        </w:tc>
        <w:tc>
          <w:tcPr>
            <w:tcW w:w="1020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Subordination, Non-Disturbance and Attornment Agreement by and among, the Company, Univest Bank and Trust Co., and Veterans Circle Group, LLC dated December 12,</w:t>
            </w:r>
          </w:p>
        </w:tc>
      </w:tr>
      <w:tr>
        <w:trPr>
          <w:trHeight w:val="118"/>
        </w:trPr>
        <w:tc>
          <w:tcPr>
            <w:tcW w:w="920" w:type="dxa"/>
            <w:vAlign w:val="bottom"/>
          </w:tcPr>
          <w:p>
            <w:pPr>
              <w:spacing w:after="0"/>
              <w:rPr>
                <w:sz w:val="10"/>
                <w:szCs w:val="10"/>
                <w:color w:val="auto"/>
              </w:rPr>
            </w:pPr>
          </w:p>
        </w:tc>
        <w:tc>
          <w:tcPr>
            <w:tcW w:w="10020" w:type="dxa"/>
            <w:vAlign w:val="bottom"/>
            <w:tcBorders>
              <w:top w:val="single" w:sz="8" w:color="0000FF"/>
              <w:bottom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2023 (incorporated herein by reference to Exhibit 10.16 to the Registrant’s Annual Report on Form 10-K for the year ended December 31, 2023, filed with the SEC on March</w:t>
            </w: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520" w:type="dxa"/>
            <w:vAlign w:val="bottom"/>
            <w:tcBorders>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5, 2024).</w:t>
            </w:r>
          </w:p>
        </w:tc>
        <w:tc>
          <w:tcPr>
            <w:tcW w:w="1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rPr>
              <w:t>10.13</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Master Contribution And Share Subscription Agreement, by and between the Company, Genevant Sciences Ltd. and Roivant Sciences LTD. (incorporated herein by reference</w:t>
              </w:r>
            </w:hyperlink>
          </w:p>
        </w:tc>
      </w:tr>
      <w:tr>
        <w:trPr>
          <w:trHeight w:val="118"/>
        </w:trPr>
        <w:tc>
          <w:tcPr>
            <w:tcW w:w="920" w:type="dxa"/>
            <w:vAlign w:val="bottom"/>
          </w:tcPr>
          <w:p>
            <w:pPr>
              <w:spacing w:after="0"/>
              <w:rPr>
                <w:sz w:val="10"/>
                <w:szCs w:val="10"/>
                <w:color w:val="auto"/>
              </w:rPr>
            </w:pPr>
          </w:p>
        </w:tc>
        <w:tc>
          <w:tcPr>
            <w:tcW w:w="994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Exhibit 10.1 to the Registrant's Quarterly Report on Form 10-Q for the quarter ended March 31, 2018, filed with the SEC on May 4,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10.14#</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Executive Employment Agreement, dated June 11, 2018, by and between the Company and David Hastings (incorporated herein by reference to Exhibit 10.52 of the</w:t>
              </w:r>
            </w:hyperlink>
          </w:p>
        </w:tc>
      </w:tr>
      <w:tr>
        <w:trPr>
          <w:trHeight w:val="118"/>
        </w:trPr>
        <w:tc>
          <w:tcPr>
            <w:tcW w:w="920" w:type="dxa"/>
            <w:vAlign w:val="bottom"/>
          </w:tcPr>
          <w:p>
            <w:pPr>
              <w:spacing w:after="0"/>
              <w:rPr>
                <w:sz w:val="10"/>
                <w:szCs w:val="10"/>
                <w:color w:val="auto"/>
              </w:rPr>
            </w:pPr>
          </w:p>
        </w:tc>
        <w:tc>
          <w:tcPr>
            <w:tcW w:w="67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Registrant’s Annual Report on Form 10-K for the year end December 31, 2018, filed with the SEC on March 7, 2019).</w:t>
              </w:r>
            </w:hyperlink>
          </w:p>
        </w:tc>
        <w:tc>
          <w:tcPr>
            <w:tcW w:w="346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10.15#</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Executive Employment Agreement, dated July 10, 2015, by and between the Company and Michael McElhaugh, as amended by the First Amendment to Executive</w:t>
              </w:r>
            </w:hyperlink>
          </w:p>
        </w:tc>
      </w:tr>
      <w:tr>
        <w:trPr>
          <w:trHeight w:val="118"/>
        </w:trPr>
        <w:tc>
          <w:tcPr>
            <w:tcW w:w="920" w:type="dxa"/>
            <w:vAlign w:val="bottom"/>
          </w:tcPr>
          <w:p>
            <w:pPr>
              <w:spacing w:after="0"/>
              <w:rPr>
                <w:sz w:val="10"/>
                <w:szCs w:val="10"/>
                <w:color w:val="auto"/>
              </w:rPr>
            </w:pPr>
          </w:p>
        </w:tc>
        <w:tc>
          <w:tcPr>
            <w:tcW w:w="101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Employment Agreement, dated April 20, 2016, the Second Amendment to Executive Employment Agreement, dated December 11, 2018, the Third Amendment to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000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Executive Employment Agreement, dated November 1, 2022, and the Fourth Amendment to the Executive Employment Agreement, dated January 1, 2024 (incorporated</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9"/>
        </w:trPr>
        <w:tc>
          <w:tcPr>
            <w:tcW w:w="920" w:type="dxa"/>
            <w:vAlign w:val="bottom"/>
          </w:tcPr>
          <w:p>
            <w:pPr>
              <w:spacing w:after="0"/>
              <w:rPr>
                <w:sz w:val="11"/>
                <w:szCs w:val="11"/>
                <w:color w:val="auto"/>
              </w:rPr>
            </w:pPr>
          </w:p>
        </w:tc>
        <w:tc>
          <w:tcPr>
            <w:tcW w:w="928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herein by reference to Exhibit 10.23 to the Registrant’s Annual Report on Form 10-K for the year ended December 31, 2023, filed with the SEC on March 5, 2024).</w:t>
              </w:r>
            </w:hyperlink>
          </w:p>
        </w:tc>
        <w:tc>
          <w:tcPr>
            <w:tcW w:w="640" w:type="dxa"/>
            <w:vAlign w:val="bottom"/>
            <w:tcBorders>
              <w:top w:val="single" w:sz="8" w:color="0000FF"/>
            </w:tcBorders>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585"/>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10.16†</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Purchase and Sale Agreement, dated July 2, 2019, by and between the Company and OCM IP Healthcare Portfolio LP (incorporated herein by reference to Exhibit 10.6 to the</w:t>
              </w:r>
            </w:hyperlink>
          </w:p>
        </w:tc>
      </w:tr>
      <w:tr>
        <w:trPr>
          <w:trHeight w:val="118"/>
        </w:trPr>
        <w:tc>
          <w:tcPr>
            <w:tcW w:w="920" w:type="dxa"/>
            <w:vAlign w:val="bottom"/>
          </w:tcPr>
          <w:p>
            <w:pPr>
              <w:spacing w:after="0"/>
              <w:rPr>
                <w:sz w:val="10"/>
                <w:szCs w:val="10"/>
                <w:color w:val="auto"/>
              </w:rPr>
            </w:pPr>
          </w:p>
        </w:tc>
        <w:tc>
          <w:tcPr>
            <w:tcW w:w="99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Registrant’s Quarterly Report on Form 10-Q for the quarter ended June 30, 2019, filed with the SEC on August 5, 2019).</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10.17#</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Arbutus Biopharma Corporation 2020 Employee Stock Purchase Plan (incorporated herein by reference to Exhibit 10.2 to the Registrant’s Current Report on Form 8-K, filed</w:t>
              </w:r>
            </w:hyperlink>
          </w:p>
        </w:tc>
      </w:tr>
      <w:tr>
        <w:trPr>
          <w:trHeight w:val="118"/>
        </w:trPr>
        <w:tc>
          <w:tcPr>
            <w:tcW w:w="920" w:type="dxa"/>
            <w:vAlign w:val="bottom"/>
          </w:tcPr>
          <w:p>
            <w:pPr>
              <w:spacing w:after="0"/>
              <w:rPr>
                <w:sz w:val="10"/>
                <w:szCs w:val="10"/>
                <w:color w:val="auto"/>
              </w:rPr>
            </w:pPr>
          </w:p>
        </w:tc>
        <w:tc>
          <w:tcPr>
            <w:tcW w:w="17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with the SEC on June 1, 2020).</w:t>
              </w:r>
            </w:hyperlink>
          </w:p>
        </w:tc>
        <w:tc>
          <w:tcPr>
            <w:tcW w:w="8320" w:type="dxa"/>
            <w:vAlign w:val="bottom"/>
            <w:tcBorders>
              <w:top w:val="single" w:sz="8" w:color="0000FF"/>
            </w:tcBorders>
            <w:gridSpan w:val="2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10.18#</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Form of Arbutus Biopharma Corporation Option Agreement (incorporated herein by reference to Exhibit 10.8 to the Registrant’s Quarterly Report on Form 10-Q for the</w:t>
              </w:r>
            </w:hyperlink>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quarter ended June 30, 2019, filed with the SEC on August 5, 2019).</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10.19†</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Cross License Agreement, dated April 11, 2018, by and between the Company and Genevant Sciences Ltd. (incorporated herein by reference to Exhibit 10.3 to the</w:t>
              </w:r>
            </w:hyperlink>
          </w:p>
        </w:tc>
      </w:tr>
      <w:tr>
        <w:trPr>
          <w:trHeight w:val="118"/>
        </w:trPr>
        <w:tc>
          <w:tcPr>
            <w:tcW w:w="920" w:type="dxa"/>
            <w:vAlign w:val="bottom"/>
          </w:tcPr>
          <w:p>
            <w:pPr>
              <w:spacing w:after="0"/>
              <w:rPr>
                <w:sz w:val="10"/>
                <w:szCs w:val="10"/>
                <w:color w:val="auto"/>
              </w:rPr>
            </w:pPr>
          </w:p>
        </w:tc>
        <w:tc>
          <w:tcPr>
            <w:tcW w:w="100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Registrant’s Quarterly Report on Form 10-Q for the quarter ended June 30, 2020, filed with the SEC on August 7, 2020).</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10.20†</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First Amendment to Cross License Agreement, dated June 27, 2018, by and among the Company, Genevant Sciences Ltd and Genevant Sciences GmbH. (incorporated herein</w:t>
              </w:r>
            </w:hyperlink>
          </w:p>
        </w:tc>
      </w:tr>
      <w:tr>
        <w:trPr>
          <w:trHeight w:val="118"/>
        </w:trPr>
        <w:tc>
          <w:tcPr>
            <w:tcW w:w="920" w:type="dxa"/>
            <w:vAlign w:val="bottom"/>
          </w:tcPr>
          <w:p>
            <w:pPr>
              <w:spacing w:after="0"/>
              <w:rPr>
                <w:sz w:val="10"/>
                <w:szCs w:val="10"/>
                <w:color w:val="auto"/>
              </w:rPr>
            </w:pPr>
          </w:p>
        </w:tc>
        <w:tc>
          <w:tcPr>
            <w:tcW w:w="882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by reference to Exhibit 10.4 to the Registrant’s Quarterly Report on Form 10-Q for the quarter ended June 30, 2020, filed with the SEC on August 7, 2020).</w:t>
              </w:r>
            </w:hyperlink>
          </w:p>
        </w:tc>
        <w:tc>
          <w:tcPr>
            <w:tcW w:w="12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10.21†</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Second Amendment to Cross License Agreement, dated June 27, 2018, by and among the Company, Genevant Sciences Ltd. and Genevant Sciences GmbH. (incorporated</w:t>
              </w:r>
            </w:hyperlink>
          </w:p>
        </w:tc>
      </w:tr>
      <w:tr>
        <w:trPr>
          <w:trHeight w:val="118"/>
        </w:trPr>
        <w:tc>
          <w:tcPr>
            <w:tcW w:w="920" w:type="dxa"/>
            <w:vAlign w:val="bottom"/>
          </w:tcPr>
          <w:p>
            <w:pPr>
              <w:spacing w:after="0"/>
              <w:rPr>
                <w:sz w:val="10"/>
                <w:szCs w:val="10"/>
                <w:color w:val="auto"/>
              </w:rPr>
            </w:pPr>
          </w:p>
        </w:tc>
        <w:tc>
          <w:tcPr>
            <w:tcW w:w="986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herein by reference to Exhibit 10.5 to the Registrant’s Quarterly Report on Form 10-Q for the quarter ended June 30, 2020, filed with the SEC on August 7, 2020).</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12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10.22†</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License Agreement, dated December 9, 2021, by and between the Company and Genevant Sciences GmbH (incorporated herein by reference to Exhibit 10.1 to the</w:t>
              </w:r>
            </w:hyperlink>
          </w:p>
        </w:tc>
      </w:tr>
      <w:tr>
        <w:trPr>
          <w:trHeight w:val="118"/>
        </w:trPr>
        <w:tc>
          <w:tcPr>
            <w:tcW w:w="920" w:type="dxa"/>
            <w:vAlign w:val="bottom"/>
          </w:tcPr>
          <w:p>
            <w:pPr>
              <w:spacing w:after="0"/>
              <w:rPr>
                <w:sz w:val="10"/>
                <w:szCs w:val="10"/>
                <w:color w:val="auto"/>
              </w:rPr>
            </w:pPr>
          </w:p>
        </w:tc>
        <w:tc>
          <w:tcPr>
            <w:tcW w:w="101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Registrant’s Current Report on Form 8-K, filed with the SEC on December 10, 2021).</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10.23†</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Technology Transfer and Exclusive License Agreement, dated December 13, 2021, by and between the Company and Qilu Pharmaceutical Co., Ltd. (incorporated herein by</w:t>
              </w:r>
            </w:hyperlink>
          </w:p>
        </w:tc>
      </w:tr>
      <w:tr>
        <w:trPr>
          <w:trHeight w:val="118"/>
        </w:trPr>
        <w:tc>
          <w:tcPr>
            <w:tcW w:w="920" w:type="dxa"/>
            <w:vAlign w:val="bottom"/>
          </w:tcPr>
          <w:p>
            <w:pPr>
              <w:spacing w:after="0"/>
              <w:rPr>
                <w:sz w:val="10"/>
                <w:szCs w:val="10"/>
                <w:color w:val="auto"/>
              </w:rPr>
            </w:pPr>
          </w:p>
        </w:tc>
        <w:tc>
          <w:tcPr>
            <w:tcW w:w="884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reference to Exhibit 10.41 to the Registrant’s Quarterly Report on Form 10-K for the year ended December 31, 2022, filed with the SEC on March 3, 2022).</w:t>
              </w:r>
            </w:hyperlink>
          </w:p>
        </w:tc>
        <w:tc>
          <w:tcPr>
            <w:tcW w:w="1040" w:type="dxa"/>
            <w:vAlign w:val="bottom"/>
            <w:tcBorders>
              <w:top w:val="single" w:sz="8" w:color="0000FF"/>
            </w:tcBorders>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120" w:type="dxa"/>
            <w:vAlign w:val="bottom"/>
            <w:gridSpan w:val="6"/>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10.24#</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Arbutus Biopharma Corporation Restricted Stock Unit Agreement. (incorporated herein by reference to Exhibit 10.41 of the Registrant’s Annual Report on Form 10-</w:t>
              </w:r>
            </w:hyperlink>
          </w:p>
        </w:tc>
      </w:tr>
      <w:tr>
        <w:trPr>
          <w:trHeight w:val="118"/>
        </w:trPr>
        <w:tc>
          <w:tcPr>
            <w:tcW w:w="920" w:type="dxa"/>
            <w:vAlign w:val="bottom"/>
          </w:tcPr>
          <w:p>
            <w:pPr>
              <w:spacing w:after="0"/>
              <w:rPr>
                <w:sz w:val="10"/>
                <w:szCs w:val="10"/>
                <w:color w:val="auto"/>
              </w:rPr>
            </w:pPr>
          </w:p>
        </w:tc>
        <w:tc>
          <w:tcPr>
            <w:tcW w:w="100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K for the year end December 31, 2022, filed with the SEC on March 2, 2023).</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10.25#</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Executive Employment Agreement, dated effective as of July 10, 2023, between Arbutus Biopharma, Inc. and Karen Sims, MD, PhD (incorporated herein by reference to</w:t>
              </w:r>
            </w:hyperlink>
          </w:p>
        </w:tc>
      </w:tr>
      <w:tr>
        <w:trPr>
          <w:trHeight w:val="118"/>
        </w:trPr>
        <w:tc>
          <w:tcPr>
            <w:tcW w:w="920" w:type="dxa"/>
            <w:vAlign w:val="bottom"/>
          </w:tcPr>
          <w:p>
            <w:pPr>
              <w:spacing w:after="0"/>
              <w:rPr>
                <w:sz w:val="10"/>
                <w:szCs w:val="10"/>
                <w:color w:val="auto"/>
              </w:rPr>
            </w:pPr>
          </w:p>
        </w:tc>
        <w:tc>
          <w:tcPr>
            <w:tcW w:w="79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Exhibit 10.1 to the Registrant’s Quarterly Report on Form 10-Q for the quarter ended June 30, 2023, filed with the SEC on August 3, 2023).</w:t>
              </w:r>
            </w:hyperlink>
          </w:p>
        </w:tc>
        <w:tc>
          <w:tcPr>
            <w:tcW w:w="2020" w:type="dxa"/>
            <w:vAlign w:val="bottom"/>
            <w:tcBorders>
              <w:top w:val="single" w:sz="8" w:color="0000FF"/>
            </w:tcBorders>
            <w:gridSpan w:val="10"/>
          </w:tcPr>
          <w:p>
            <w:pPr>
              <w:spacing w:after="0"/>
              <w:rPr>
                <w:sz w:val="10"/>
                <w:szCs w:val="10"/>
                <w:color w:val="auto"/>
              </w:rPr>
            </w:pPr>
          </w:p>
        </w:tc>
        <w:tc>
          <w:tcPr>
            <w:tcW w:w="200" w:type="dxa"/>
            <w:vAlign w:val="bottom"/>
            <w:gridSpan w:val="10"/>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10.26#</w:t>
            </w:r>
          </w:p>
        </w:tc>
        <w:tc>
          <w:tcPr>
            <w:tcW w:w="10200" w:type="dxa"/>
            <w:vAlign w:val="bottom"/>
            <w:gridSpan w:val="31"/>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Executive Employment Agreement, dated effective as of July 10, 2023, between Arbutus Biopharma, Inc. and J. Christopher Naftzger (incorporated herein by reference to</w:t>
              </w:r>
            </w:hyperlink>
          </w:p>
        </w:tc>
      </w:tr>
      <w:tr>
        <w:trPr>
          <w:trHeight w:val="118"/>
        </w:trPr>
        <w:tc>
          <w:tcPr>
            <w:tcW w:w="920" w:type="dxa"/>
            <w:vAlign w:val="bottom"/>
          </w:tcPr>
          <w:p>
            <w:pPr>
              <w:spacing w:after="0"/>
              <w:rPr>
                <w:sz w:val="10"/>
                <w:szCs w:val="10"/>
                <w:color w:val="auto"/>
              </w:rPr>
            </w:pPr>
          </w:p>
        </w:tc>
        <w:tc>
          <w:tcPr>
            <w:tcW w:w="79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Exhibit 10.2 to the Registrant’s Quarterly Report on Form 10-Q for the quarter ended June 30, 2023, filed with the SEC on August 3, 2023).</w:t>
              </w:r>
            </w:hyperlink>
          </w:p>
        </w:tc>
        <w:tc>
          <w:tcPr>
            <w:tcW w:w="222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00"/>
          </w:cols>
          <w:pgMar w:left="700" w:top="1283" w:right="399" w:bottom="1440" w:gutter="0" w:footer="0" w:header="0"/>
        </w:sectPr>
      </w:pPr>
    </w:p>
    <w:bookmarkStart w:id="108" w:name="page109"/>
    <w:bookmarkEnd w:id="108"/>
    <w:tbl>
      <w:tblPr>
        <w:tblLayout w:type="fixed"/>
        <w:tblInd w:w="400" w:type="dxa"/>
        <w:tblCellMar>
          <w:top w:w="0" w:type="dxa"/>
          <w:left w:w="0" w:type="dxa"/>
          <w:bottom w:w="0" w:type="dxa"/>
          <w:right w:w="0" w:type="dxa"/>
        </w:tblCellMar>
      </w:tblPr>
      <w:tr>
        <w:trPr>
          <w:trHeight w:val="161"/>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10.27#</w:t>
            </w:r>
          </w:p>
        </w:tc>
        <w:tc>
          <w:tcPr>
            <w:tcW w:w="9960" w:type="dxa"/>
            <w:vAlign w:val="bottom"/>
            <w:gridSpan w:val="17"/>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Option Agreement, dated July 10, 2023, by and between Arbutus Biopharma Corporation and J. Christopher Naftzger (incorporated herein by reference to Exhibit 10.3 to the</w:t>
              </w:r>
            </w:hyperlink>
          </w:p>
        </w:tc>
      </w:tr>
      <w:tr>
        <w:trPr>
          <w:trHeight w:val="118"/>
        </w:trPr>
        <w:tc>
          <w:tcPr>
            <w:tcW w:w="920" w:type="dxa"/>
            <w:vAlign w:val="bottom"/>
          </w:tcPr>
          <w:p>
            <w:pPr>
              <w:spacing w:after="0"/>
              <w:rPr>
                <w:sz w:val="10"/>
                <w:szCs w:val="10"/>
                <w:color w:val="auto"/>
              </w:rPr>
            </w:pPr>
          </w:p>
        </w:tc>
        <w:tc>
          <w:tcPr>
            <w:tcW w:w="98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Registrant’s Quarterly Report on Form 10-Q for the quarter ended June 30, 2023, filed with the SEC on August 3,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10.28#</w:t>
            </w:r>
          </w:p>
        </w:tc>
        <w:tc>
          <w:tcPr>
            <w:tcW w:w="9960" w:type="dxa"/>
            <w:vAlign w:val="bottom"/>
            <w:gridSpan w:val="17"/>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Arbutus Biopharma Corporation 2016 Omnibus Share and Incentive Plan, as supplemented and amended (incorporated herein by reference to Exhibit 10.1 to the Registrant’s</w:t>
              </w:r>
            </w:hyperlink>
          </w:p>
        </w:tc>
      </w:tr>
      <w:tr>
        <w:trPr>
          <w:trHeight w:val="118"/>
        </w:trPr>
        <w:tc>
          <w:tcPr>
            <w:tcW w:w="920" w:type="dxa"/>
            <w:vAlign w:val="bottom"/>
          </w:tcPr>
          <w:p>
            <w:pPr>
              <w:spacing w:after="0"/>
              <w:rPr>
                <w:sz w:val="10"/>
                <w:szCs w:val="10"/>
                <w:color w:val="auto"/>
              </w:rPr>
            </w:pPr>
          </w:p>
        </w:tc>
        <w:tc>
          <w:tcPr>
            <w:tcW w:w="994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Current Report on Form 8-K, filed with the SEC on May 24, 2024)</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10.29#</w:t>
            </w:r>
          </w:p>
        </w:tc>
        <w:tc>
          <w:tcPr>
            <w:tcW w:w="9960" w:type="dxa"/>
            <w:vAlign w:val="bottom"/>
            <w:gridSpan w:val="17"/>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Executive Employment Agreement, dated effective as of July 11, 2015, between OnCore Biopharma, Inc. and Michael J. Sofia (incorporated herein by reference to Exhibit</w:t>
              </w:r>
            </w:hyperlink>
          </w:p>
        </w:tc>
      </w:tr>
      <w:tr>
        <w:trPr>
          <w:trHeight w:val="118"/>
        </w:trPr>
        <w:tc>
          <w:tcPr>
            <w:tcW w:w="920" w:type="dxa"/>
            <w:vAlign w:val="bottom"/>
          </w:tcPr>
          <w:p>
            <w:pPr>
              <w:spacing w:after="0"/>
              <w:rPr>
                <w:sz w:val="10"/>
                <w:szCs w:val="10"/>
                <w:color w:val="auto"/>
              </w:rPr>
            </w:pPr>
          </w:p>
        </w:tc>
        <w:tc>
          <w:tcPr>
            <w:tcW w:w="992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8</w:t>
              </w:r>
              <w:r>
                <w:rPr>
                  <w:rFonts w:ascii="Times New Roman" w:cs="Times New Roman" w:eastAsia="Times New Roman" w:hAnsi="Times New Roman"/>
                  <w:sz w:val="13"/>
                  <w:szCs w:val="13"/>
                  <w:color w:val="0000FF"/>
                </w:rPr>
                <w:t xml:space="preserve"> to the Registrant’s Quarterly Report on Form 10-Q for the quarter ended June 30, 2015, filed with the SEC on August 7, 2015).</w:t>
              </w:r>
            </w:hyperlink>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10.30#</w:t>
            </w:r>
          </w:p>
        </w:tc>
        <w:tc>
          <w:tcPr>
            <w:tcW w:w="9960" w:type="dxa"/>
            <w:vAlign w:val="bottom"/>
            <w:gridSpan w:val="17"/>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First Amendment to Executive Employment Agreement, dated October 11, 2024, by and between Michael J. Sofia and Arbutus Biopharma, Inc. (incorporated herein by</w:t>
              </w:r>
            </w:hyperlink>
          </w:p>
        </w:tc>
      </w:tr>
      <w:tr>
        <w:trPr>
          <w:trHeight w:val="118"/>
        </w:trPr>
        <w:tc>
          <w:tcPr>
            <w:tcW w:w="920" w:type="dxa"/>
            <w:vAlign w:val="bottom"/>
          </w:tcPr>
          <w:p>
            <w:pPr>
              <w:spacing w:after="0"/>
              <w:rPr>
                <w:sz w:val="10"/>
                <w:szCs w:val="10"/>
                <w:color w:val="auto"/>
              </w:rPr>
            </w:pPr>
          </w:p>
        </w:tc>
        <w:tc>
          <w:tcPr>
            <w:tcW w:w="986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reference to Exhibit 10.1 to the Registrant’s Current Report on Form 8-K, filed with the SEC on October 11, 2024).</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920" w:type="dxa"/>
            <w:vAlign w:val="bottom"/>
          </w:tcPr>
          <w:p>
            <w:pPr>
              <w:jc w:val="center"/>
              <w:ind w:right="449"/>
              <w:spacing w:after="0"/>
              <w:rPr>
                <w:sz w:val="20"/>
                <w:szCs w:val="20"/>
                <w:color w:val="auto"/>
              </w:rPr>
            </w:pPr>
            <w:r>
              <w:rPr>
                <w:rFonts w:ascii="Times New Roman" w:cs="Times New Roman" w:eastAsia="Times New Roman" w:hAnsi="Times New Roman"/>
                <w:sz w:val="14"/>
                <w:szCs w:val="14"/>
                <w:color w:val="auto"/>
                <w:w w:val="99"/>
              </w:rPr>
              <w:t>19**</w:t>
            </w:r>
          </w:p>
        </w:tc>
        <w:tc>
          <w:tcPr>
            <w:tcW w:w="6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Insider Trading Policy</w:t>
            </w:r>
            <w:r>
              <w:rPr>
                <w:rFonts w:ascii="Times New Roman" w:cs="Times New Roman" w:eastAsia="Times New Roman" w:hAnsi="Times New Roman"/>
                <w:sz w:val="14"/>
                <w:szCs w:val="14"/>
                <w:color w:val="000000"/>
              </w:rPr>
              <w:t>.</w:t>
            </w:r>
          </w:p>
        </w:tc>
        <w:tc>
          <w:tcPr>
            <w:tcW w:w="3440" w:type="dxa"/>
            <w:vAlign w:val="bottom"/>
            <w:gridSpan w:val="10"/>
          </w:tcPr>
          <w:p>
            <w:pPr>
              <w:spacing w:after="0"/>
              <w:rPr>
                <w:sz w:val="22"/>
                <w:szCs w:val="22"/>
                <w:color w:val="auto"/>
              </w:rPr>
            </w:pPr>
          </w:p>
        </w:tc>
      </w:tr>
      <w:tr>
        <w:trPr>
          <w:trHeight w:val="20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21.1**</w:t>
            </w:r>
          </w:p>
        </w:tc>
        <w:tc>
          <w:tcPr>
            <w:tcW w:w="11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140" w:type="dxa"/>
            <w:vAlign w:val="bottom"/>
            <w:tcBorders>
              <w:top w:val="single" w:sz="8" w:color="0000FF"/>
            </w:tcBorders>
          </w:tcPr>
          <w:p>
            <w:pPr>
              <w:spacing w:after="0"/>
              <w:rPr>
                <w:sz w:val="17"/>
                <w:szCs w:val="17"/>
                <w:color w:val="auto"/>
              </w:rPr>
            </w:pPr>
          </w:p>
        </w:tc>
        <w:tc>
          <w:tcPr>
            <w:tcW w:w="8680" w:type="dxa"/>
            <w:vAlign w:val="bottom"/>
            <w:gridSpan w:val="14"/>
          </w:tcPr>
          <w:p>
            <w:pPr>
              <w:spacing w:after="0"/>
              <w:rPr>
                <w:sz w:val="17"/>
                <w:szCs w:val="17"/>
                <w:color w:val="auto"/>
              </w:rPr>
            </w:pPr>
          </w:p>
        </w:tc>
      </w:tr>
      <w:tr>
        <w:trPr>
          <w:trHeight w:val="20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23.1**</w:t>
            </w:r>
          </w:p>
        </w:tc>
        <w:tc>
          <w:tcPr>
            <w:tcW w:w="99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 Public Accounting Firm.</w:t>
            </w: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31.1**</w:t>
            </w:r>
          </w:p>
        </w:tc>
        <w:tc>
          <w:tcPr>
            <w:tcW w:w="99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President and Chief Executive Officer pursuant to Rule 13a-14 or 15d-14 of the Securities Exchange Act of 1934, as adopted pursuant to Section 302 of the</w:t>
            </w:r>
          </w:p>
        </w:tc>
      </w:tr>
      <w:tr>
        <w:trPr>
          <w:trHeight w:val="118"/>
        </w:trPr>
        <w:tc>
          <w:tcPr>
            <w:tcW w:w="92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820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31.2**</w:t>
            </w:r>
          </w:p>
        </w:tc>
        <w:tc>
          <w:tcPr>
            <w:tcW w:w="996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or 15d-14 of the Securities Exchange Act of 1934, as adopted pursuant to Section 302 of the Sarbanes-Oxley</w:t>
            </w:r>
          </w:p>
        </w:tc>
      </w:tr>
      <w:tr>
        <w:trPr>
          <w:trHeight w:val="118"/>
        </w:trPr>
        <w:tc>
          <w:tcPr>
            <w:tcW w:w="920" w:type="dxa"/>
            <w:vAlign w:val="bottom"/>
          </w:tcPr>
          <w:p>
            <w:pPr>
              <w:spacing w:after="0"/>
              <w:rPr>
                <w:sz w:val="10"/>
                <w:szCs w:val="10"/>
                <w:color w:val="auto"/>
              </w:rPr>
            </w:pPr>
          </w:p>
        </w:tc>
        <w:tc>
          <w:tcPr>
            <w:tcW w:w="9900" w:type="dxa"/>
            <w:vAlign w:val="bottom"/>
            <w:tcBorders>
              <w:top w:val="single" w:sz="8" w:color="0000FF"/>
            </w:tcBorders>
            <w:gridSpan w:val="14"/>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r>
              <w:rPr>
                <w:rFonts w:ascii="Times New Roman" w:cs="Times New Roman" w:eastAsia="Times New Roman" w:hAnsi="Times New Roman"/>
                <w:sz w:val="13"/>
                <w:szCs w:val="13"/>
                <w:color w:val="000000"/>
              </w:rPr>
              <w:t>.</w:t>
            </w:r>
          </w:p>
        </w:tc>
        <w:tc>
          <w:tcPr>
            <w:tcW w:w="60" w:type="dxa"/>
            <w:vAlign w:val="bottom"/>
            <w:gridSpan w:val="3"/>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r>
      <w:tr>
        <w:trPr>
          <w:trHeight w:val="21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32.1**</w:t>
            </w:r>
          </w:p>
        </w:tc>
        <w:tc>
          <w:tcPr>
            <w:tcW w:w="9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President and Chief Executive Officer pursuant to 18 U.S.C. Section 1350, as adopted pursuant to Section 906 of the Sarbanes-Oxley Act of 2002.</w:t>
            </w:r>
          </w:p>
        </w:tc>
        <w:tc>
          <w:tcPr>
            <w:tcW w:w="760" w:type="dxa"/>
            <w:vAlign w:val="bottom"/>
            <w:gridSpan w:val="6"/>
          </w:tcPr>
          <w:p>
            <w:pPr>
              <w:spacing w:after="0"/>
              <w:rPr>
                <w:sz w:val="18"/>
                <w:szCs w:val="18"/>
                <w:color w:val="auto"/>
              </w:rPr>
            </w:pPr>
          </w:p>
        </w:tc>
      </w:tr>
      <w:tr>
        <w:trPr>
          <w:trHeight w:val="203"/>
        </w:trPr>
        <w:tc>
          <w:tcPr>
            <w:tcW w:w="9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32.2**</w:t>
            </w:r>
          </w:p>
        </w:tc>
        <w:tc>
          <w:tcPr>
            <w:tcW w:w="8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1600" w:type="dxa"/>
            <w:vAlign w:val="bottom"/>
            <w:gridSpan w:val="7"/>
          </w:tcPr>
          <w:p>
            <w:pPr>
              <w:spacing w:after="0"/>
              <w:rPr>
                <w:sz w:val="17"/>
                <w:szCs w:val="17"/>
                <w:color w:val="auto"/>
              </w:rPr>
            </w:pPr>
          </w:p>
        </w:tc>
      </w:tr>
    </w:tbl>
    <w:p>
      <w:pPr>
        <w:spacing w:after="0" w:line="60" w:lineRule="exact"/>
        <w:rPr>
          <w:sz w:val="20"/>
          <w:szCs w:val="20"/>
          <w:color w:val="auto"/>
        </w:rPr>
      </w:pPr>
    </w:p>
    <w:p>
      <w:pPr>
        <w:ind w:left="1320" w:right="20" w:hanging="797"/>
        <w:spacing w:after="0" w:line="239" w:lineRule="auto"/>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Arbutus Biopharma Corporation Incentive Compensation Recovery Policy (incorporated herein by reference to Exhibit 97 to the Registrant’s Annual Report on Form 10-K for the year ended December 31, 2023, filed with the SEC on March 5,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101.CAL**</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101.LAB**</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23"/>
        </w:trPr>
        <w:tc>
          <w:tcPr>
            <w:tcW w:w="11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28"/>
        </w:trPr>
        <w:tc>
          <w:tcPr>
            <w:tcW w:w="1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540" w:type="dxa"/>
            <w:vAlign w:val="bottom"/>
          </w:tcPr>
          <w:p>
            <w:pPr>
              <w:spacing w:after="0"/>
              <w:rPr>
                <w:sz w:val="11"/>
                <w:szCs w:val="11"/>
                <w:color w:val="auto"/>
              </w:rPr>
            </w:pPr>
          </w:p>
        </w:tc>
      </w:tr>
    </w:tbl>
    <w:p>
      <w:pPr>
        <w:spacing w:after="0" w:line="29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Filed or furnished herewith, as applicable</w:t>
      </w:r>
    </w:p>
    <w:p>
      <w:pPr>
        <w:spacing w:after="0" w:line="51" w:lineRule="exact"/>
        <w:rPr>
          <w:sz w:val="20"/>
          <w:szCs w:val="20"/>
          <w:color w:val="auto"/>
        </w:rPr>
      </w:pPr>
    </w:p>
    <w:p>
      <w:pPr>
        <w:ind w:left="580" w:right="60" w:hanging="575"/>
        <w:spacing w:after="0" w:line="270" w:lineRule="auto"/>
        <w:tabs>
          <w:tab w:leader="none" w:pos="25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Arrangement.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83" w:right="399" w:bottom="1440" w:gutter="0" w:footer="0" w:header="0"/>
        </w:sectPr>
      </w:pPr>
    </w:p>
    <w:bookmarkStart w:id="109" w:name="page110"/>
    <w:bookmarkEnd w:id="109"/>
    <w:p>
      <w:pPr>
        <w:ind w:left="540"/>
        <w:spacing w:after="0"/>
        <w:rPr>
          <w:sz w:val="20"/>
          <w:szCs w:val="20"/>
          <w:color w:val="auto"/>
        </w:rPr>
      </w:pPr>
      <w:r>
        <w:rPr>
          <w:rFonts w:ascii="Times New Roman" w:cs="Times New Roman" w:eastAsia="Times New Roman" w:hAnsi="Times New Roman"/>
          <w:sz w:val="14"/>
          <w:szCs w:val="14"/>
          <w:color w:val="auto"/>
        </w:rPr>
        <w:t>See Index to Consolidated Financial Statements under Item 8 of 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6"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March 27, 2025.</w:t>
      </w: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02" w:lineRule="exact"/>
        <w:rPr>
          <w:sz w:val="20"/>
          <w:szCs w:val="20"/>
          <w:color w:val="auto"/>
        </w:rPr>
      </w:pPr>
    </w:p>
    <w:tbl>
      <w:tblPr>
        <w:tblLayout w:type="fixed"/>
        <w:tblInd w:w="554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Lindsay Androski</w:t>
            </w:r>
          </w:p>
        </w:tc>
      </w:tr>
      <w:tr>
        <w:trPr>
          <w:trHeight w:val="167"/>
        </w:trPr>
        <w:tc>
          <w:tcPr>
            <w:tcW w:w="720" w:type="dxa"/>
            <w:vAlign w:val="bottom"/>
          </w:tcPr>
          <w:p>
            <w:pPr>
              <w:spacing w:after="0"/>
              <w:rPr>
                <w:sz w:val="14"/>
                <w:szCs w:val="1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Lindsay Androski</w:t>
            </w:r>
          </w:p>
        </w:tc>
      </w:tr>
      <w:tr>
        <w:trPr>
          <w:trHeight w:val="184"/>
        </w:trPr>
        <w:tc>
          <w:tcPr>
            <w:tcW w:w="720" w:type="dxa"/>
            <w:vAlign w:val="bottom"/>
          </w:tcPr>
          <w:p>
            <w:pPr>
              <w:spacing w:after="0"/>
              <w:rPr>
                <w:sz w:val="16"/>
                <w:szCs w:val="16"/>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March 27,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in Which Signed</w:t>
            </w:r>
          </w:p>
        </w:tc>
      </w:tr>
      <w:tr>
        <w:trPr>
          <w:trHeight w:val="35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Lindsay Androski</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Chief Executive Officer and Director (Chairperson)</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Lindsay Androski</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78"/>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C. Hastings</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C. Hastings</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Alan Beardsley</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Alan Beardsley</w:t>
            </w:r>
          </w:p>
        </w:tc>
        <w:tc>
          <w:tcPr>
            <w:tcW w:w="5720" w:type="dxa"/>
            <w:vAlign w:val="bottom"/>
          </w:tcPr>
          <w:p>
            <w:pPr>
              <w:spacing w:after="0"/>
              <w:rPr>
                <w:sz w:val="15"/>
                <w:szCs w:val="15"/>
                <w:color w:val="auto"/>
              </w:rPr>
            </w:pP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Joseph Bishop</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Joseph Bishop</w:t>
            </w:r>
          </w:p>
        </w:tc>
        <w:tc>
          <w:tcPr>
            <w:tcW w:w="5720" w:type="dxa"/>
            <w:vAlign w:val="bottom"/>
          </w:tcPr>
          <w:p>
            <w:pPr>
              <w:spacing w:after="0"/>
              <w:rPr>
                <w:sz w:val="15"/>
                <w:szCs w:val="15"/>
                <w:color w:val="auto"/>
              </w:rPr>
            </w:pPr>
          </w:p>
        </w:tc>
      </w:tr>
      <w:tr>
        <w:trPr>
          <w:trHeight w:val="35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Matthew Gline</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Matthew Gline</w:t>
            </w:r>
          </w:p>
        </w:tc>
        <w:tc>
          <w:tcPr>
            <w:tcW w:w="5720" w:type="dxa"/>
            <w:vAlign w:val="bottom"/>
          </w:tcPr>
          <w:p>
            <w:pPr>
              <w:spacing w:after="0"/>
              <w:rPr>
                <w:sz w:val="15"/>
                <w:szCs w:val="15"/>
                <w:color w:val="auto"/>
              </w:rPr>
            </w:pPr>
          </w:p>
        </w:tc>
      </w:tr>
      <w:tr>
        <w:trPr>
          <w:trHeight w:val="378"/>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Anuj Hasija</w:t>
            </w: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Anuj Hasija</w:t>
            </w:r>
          </w:p>
        </w:tc>
        <w:tc>
          <w:tcPr>
            <w:tcW w:w="57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280"/>
          </w:cols>
          <w:pgMar w:left="300" w:top="1184" w:right="319" w:bottom="1440" w:gutter="0" w:footer="0" w:header="0"/>
        </w:sectPr>
      </w:pPr>
    </w:p>
    <w:bookmarkStart w:id="111" w:name="page112"/>
    <w:bookmarkEnd w:id="111"/>
    <w:p>
      <w:pPr>
        <w:ind w:left="10540"/>
        <w:spacing w:after="0"/>
        <w:rPr>
          <w:sz w:val="20"/>
          <w:szCs w:val="20"/>
          <w:color w:val="auto"/>
        </w:rPr>
      </w:pPr>
      <w:r>
        <w:rPr>
          <w:rFonts w:ascii="Times New Roman" w:cs="Times New Roman" w:eastAsia="Times New Roman" w:hAnsi="Times New Roman"/>
          <w:sz w:val="14"/>
          <w:szCs w:val="14"/>
          <w:b w:val="1"/>
          <w:bCs w:val="1"/>
          <w:color w:val="auto"/>
        </w:rPr>
        <w:t>lExhibit 4.1</w:t>
      </w:r>
    </w:p>
    <w:p>
      <w:pPr>
        <w:spacing w:after="0" w:line="18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DESCRIPTION OF THE REGISTRANT’S SECURITIES</w:t>
      </w:r>
    </w:p>
    <w:p>
      <w:pPr>
        <w:ind w:left="3780"/>
        <w:spacing w:after="0" w:line="193" w:lineRule="auto"/>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341" w:lineRule="exact"/>
        <w:rPr>
          <w:sz w:val="20"/>
          <w:szCs w:val="20"/>
          <w:color w:val="auto"/>
        </w:rPr>
      </w:pPr>
    </w:p>
    <w:p>
      <w:pPr>
        <w:jc w:val="both"/>
        <w:ind w:firstLine="350"/>
        <w:spacing w:after="0" w:line="242" w:lineRule="auto"/>
        <w:rPr>
          <w:sz w:val="20"/>
          <w:szCs w:val="20"/>
          <w:color w:val="auto"/>
        </w:rPr>
      </w:pPr>
      <w:r>
        <w:rPr>
          <w:rFonts w:ascii="Times New Roman" w:cs="Times New Roman" w:eastAsia="Times New Roman" w:hAnsi="Times New Roman"/>
          <w:sz w:val="14"/>
          <w:szCs w:val="14"/>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 without par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68"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summarizes provisions of our Notice of Articles and Articles, as amended, or our Articles, the Investment Canada Act (Canada), the Competition Act (Canada) and the Business Corporations Act (British Columbia). The following description does not purport to be complete and is subject to, and qualified in its entirety by, our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i w:val="1"/>
          <w:iCs w:val="1"/>
          <w:color w:val="auto"/>
        </w:rPr>
        <w:t>Articles, which are incorporated by reference as exhibits to the Annual Report on Form 10-K of which this exhibit is a part, and to the applicable provisions of the Investment Canada Act, the Competition Act and the Business Corporations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Shares</w:t>
      </w: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Our authorized share capital consists of (i) an unlimited number of common shares, without par value, (ii) an unlimited number of preferred shares, without par value, and (iii) 1,164,000 Series A Participating Convertible Preferred Shares. As of March 25, 2025 there were (a) 191,480,188 common shares outstanding and (b) 0 Series A Participating Convertible Preferred Shares outstanding. None of our common shares or preferred shares are held by us or on behalf of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 no cumulative voting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Rights and Preferences.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terms of our common shares do not include any preemptive, conversion or subscription rights, nor any redemption or sinking fund provisions. The common shares are not subject to future calls or assessments by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to Control due to Certain Provisions of Canadian and British Columbian Law and our Articles</w:t>
      </w:r>
    </w:p>
    <w:p>
      <w:pPr>
        <w:spacing w:after="0" w:line="1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 shares, would be subject to the take-over provisions of Canadian securities laws.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foregoing is a limited and general summary of certain aspects of applicable securities law in the provinces and territories of Canada, all in effect as of the date hereof.</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well, under the Business Corporations Act (British Columbia), unless otherwise stated in our Articles, certain corporate actions require the approval of a special majority of shareholders, meaning</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holders of shares representing 66 2/3% of those votes cast in respect of a shareholder vote addressing such matter. Those items requiring the approval of a special majority generally relate to fundamental changes with respect to our business, and include amongst others, resolutions: (i) removing a</w:t>
      </w:r>
    </w:p>
    <w:p>
      <w:pPr>
        <w:sectPr>
          <w:pgSz w:w="11900" w:h="16838" w:orient="portrait"/>
          <w:cols w:equalWidth="0" w:num="1">
            <w:col w:w="11280"/>
          </w:cols>
          <w:pgMar w:left="300" w:top="727" w:right="319" w:bottom="1440" w:gutter="0" w:footer="0" w:header="0"/>
        </w:sectPr>
      </w:pPr>
    </w:p>
    <w:bookmarkStart w:id="112" w:name="page113"/>
    <w:bookmarkEnd w:id="112"/>
    <w:p>
      <w:pPr>
        <w:spacing w:after="0" w:line="239" w:lineRule="auto"/>
        <w:rPr>
          <w:sz w:val="20"/>
          <w:szCs w:val="20"/>
          <w:color w:val="auto"/>
        </w:rPr>
      </w:pPr>
      <w:r>
        <w:rPr>
          <w:rFonts w:ascii="Times New Roman" w:cs="Times New Roman" w:eastAsia="Times New Roman" w:hAnsi="Times New Roman"/>
          <w:sz w:val="14"/>
          <w:szCs w:val="14"/>
          <w:color w:val="auto"/>
        </w:rPr>
        <w:t>director prior to the expiry of his or her term; (ii) altering our Articles, (iii) approving an amalgamation; (iv) approving a plan of arrangement; and (v) providing for a sale of all or substantially all of our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listed on the Nasdaq Global Select Market under the symbol “ABUS.”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shares is TSX Trust Company.</w:t>
      </w:r>
    </w:p>
    <w:p>
      <w:pPr>
        <w:sectPr>
          <w:pgSz w:w="11900" w:h="16838" w:orient="portrait"/>
          <w:cols w:equalWidth="0" w:num="1">
            <w:col w:w="11280"/>
          </w:cols>
          <w:pgMar w:left="300" w:top="719"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INDEMNITY AGREEMENT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has been entered into as of the __ day of ____, 20__</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44" w:lineRule="exact"/>
        <w:rPr>
          <w:sz w:val="20"/>
          <w:szCs w:val="20"/>
          <w:color w:val="auto"/>
        </w:rPr>
      </w:pPr>
    </w:p>
    <w:p>
      <w:pPr>
        <w:ind w:left="1020" w:right="1020"/>
        <w:spacing w:after="0" w:line="242" w:lineRule="auto"/>
        <w:rPr>
          <w:sz w:val="20"/>
          <w:szCs w:val="20"/>
          <w:color w:val="auto"/>
        </w:rPr>
      </w:pPr>
      <w:r>
        <w:rPr>
          <w:rFonts w:ascii="Times New Roman" w:cs="Times New Roman" w:eastAsia="Times New Roman" w:hAnsi="Times New Roman"/>
          <w:sz w:val="17"/>
          <w:szCs w:val="17"/>
          <w:b w:val="1"/>
          <w:bCs w:val="1"/>
          <w:color w:val="auto"/>
        </w:rPr>
        <w:t>ARBUTUS BIOPHARMA CORPORATION</w:t>
      </w:r>
      <w:r>
        <w:rPr>
          <w:rFonts w:ascii="Times New Roman" w:cs="Times New Roman" w:eastAsia="Times New Roman" w:hAnsi="Times New Roman"/>
          <w:sz w:val="17"/>
          <w:szCs w:val="17"/>
          <w:color w:val="auto"/>
        </w:rPr>
        <w:t>, a company duly incorporated under the laws of the Province of British Columbia,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having an office at 701 Veterans Circle, Warminster, PA 18974</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AND:</w:t>
      </w:r>
    </w:p>
    <w:p>
      <w:pPr>
        <w:ind w:left="520"/>
        <w:spacing w:after="0"/>
        <w:rPr>
          <w:sz w:val="20"/>
          <w:szCs w:val="20"/>
          <w:color w:val="auto"/>
        </w:rPr>
      </w:pPr>
      <w:r>
        <w:rPr>
          <w:rFonts w:ascii="Times New Roman" w:cs="Times New Roman" w:eastAsia="Times New Roman" w:hAnsi="Times New Roman"/>
          <w:sz w:val="17"/>
          <w:szCs w:val="17"/>
          <w:b w:val="1"/>
          <w:bCs w:val="1"/>
          <w:color w:val="auto"/>
        </w:rPr>
        <w:t>_________[insert name]____________</w:t>
      </w:r>
      <w:r>
        <w:rPr>
          <w:rFonts w:ascii="Times New Roman" w:cs="Times New Roman" w:eastAsia="Times New Roman" w:hAnsi="Times New Roman"/>
          <w:sz w:val="17"/>
          <w:szCs w:val="17"/>
          <w:color w:val="auto"/>
        </w:rPr>
        <w:t>, with an address c/o 701 Veterans Circle, Warminster, PA 18974 USA</w:t>
      </w:r>
    </w:p>
    <w:p>
      <w:pPr>
        <w:spacing w:after="0" w:line="3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520" w:hanging="515"/>
        <w:spacing w:after="0" w:line="238" w:lineRule="auto"/>
        <w:tabs>
          <w:tab w:leader="none" w:pos="5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Indemnitor has requested the Indemnitee to act as a director or officer of the Indemnitor and may ask the Indemnitee to act in a similar capacity with affiliates of the Indemnitor; and</w:t>
      </w:r>
    </w:p>
    <w:p>
      <w:pPr>
        <w:spacing w:after="0" w:line="121" w:lineRule="exact"/>
        <w:rPr>
          <w:rFonts w:ascii="Times New Roman" w:cs="Times New Roman" w:eastAsia="Times New Roman" w:hAnsi="Times New Roman"/>
          <w:sz w:val="17"/>
          <w:szCs w:val="17"/>
          <w:color w:val="auto"/>
        </w:rPr>
      </w:pPr>
    </w:p>
    <w:p>
      <w:pPr>
        <w:ind w:left="520" w:hanging="515"/>
        <w:spacing w:after="0" w:line="238" w:lineRule="auto"/>
        <w:tabs>
          <w:tab w:leader="none" w:pos="51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Indemnitee has agreed, subject to the granting of the indemnities and releases herein provided for, to act as a director or officer of the Indemnitor and act in a similar capacity with affiliates of the Indemnitor if requested;</w:t>
      </w:r>
    </w:p>
    <w:p>
      <w:pPr>
        <w:spacing w:after="0" w:line="1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these premises, the mutual covenants and agreements herein contained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is acknowledged by each of the parties hereto, the parties hereto covenant and agree as set forth below.</w:t>
      </w:r>
    </w:p>
    <w:p>
      <w:pPr>
        <w:spacing w:after="0" w:line="115" w:lineRule="exact"/>
        <w:rPr>
          <w:sz w:val="20"/>
          <w:szCs w:val="20"/>
          <w:color w:val="auto"/>
        </w:rPr>
      </w:pPr>
    </w:p>
    <w:p>
      <w:pPr>
        <w:ind w:left="1020" w:hanging="1015"/>
        <w:spacing w:after="0"/>
        <w:tabs>
          <w:tab w:leader="none" w:pos="102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INDEMNITY</w:t>
      </w:r>
    </w:p>
    <w:p>
      <w:pPr>
        <w:spacing w:after="0" w:line="14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1.1 Subject to §1.2, and §2.6(b) below the Indemnitor shall indemnify and save harmless the Indemnitee, and the Indemnitee’s successors, heirs and personal representatives (together with the Indemnitee, the “Indemnified Parties”) against and from:</w:t>
      </w:r>
    </w:p>
    <w:p>
      <w:pPr>
        <w:spacing w:after="0" w:line="122" w:lineRule="exact"/>
        <w:rPr>
          <w:sz w:val="20"/>
          <w:szCs w:val="20"/>
          <w:color w:val="auto"/>
        </w:rPr>
      </w:pPr>
    </w:p>
    <w:p>
      <w:pPr>
        <w:jc w:val="both"/>
        <w:ind w:left="520" w:hanging="6"/>
        <w:spacing w:after="0" w:line="223" w:lineRule="auto"/>
        <w:tabs>
          <w:tab w:leader="none" w:pos="102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actions and claims, whether current, threatened, pending or completed, whether civil, criminal, quasi-criminal or administrative, of every nature and kind whatsoever which may be brought or made by any person, firm, corporation or government, or by any governmental department, body, commission, board, bureau, agency or instrumentality against the Indemnified Parties in connection with the Indemnitee’s execution of the duties of his office held as a director or officer with the Indemnitor or any affiliate of the Indemnitor from time to time;</w:t>
      </w:r>
    </w:p>
    <w:p>
      <w:pPr>
        <w:spacing w:after="0" w:line="122" w:lineRule="exact"/>
        <w:rPr>
          <w:rFonts w:ascii="Times New Roman" w:cs="Times New Roman" w:eastAsia="Times New Roman" w:hAnsi="Times New Roman"/>
          <w:sz w:val="17"/>
          <w:szCs w:val="17"/>
          <w:color w:val="auto"/>
        </w:rPr>
      </w:pPr>
    </w:p>
    <w:p>
      <w:pPr>
        <w:ind w:left="520" w:hanging="6"/>
        <w:spacing w:after="0" w:line="238" w:lineRule="auto"/>
        <w:tabs>
          <w:tab w:leader="none" w:pos="102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costs, damages, charges, expenses (including legal fees and disbursements, on a full indemnity basis), fines, liabilities (statutory or otherwise), losses and penalties which the Indemnitee may sustain, incur or be liable for in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4"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20"/>
        <w:spacing w:after="0" w:line="228" w:lineRule="auto"/>
        <w:rPr>
          <w:sz w:val="20"/>
          <w:szCs w:val="20"/>
          <w:color w:val="auto"/>
        </w:rPr>
      </w:pPr>
      <w:r>
        <w:rPr>
          <w:rFonts w:ascii="Times New Roman" w:cs="Times New Roman" w:eastAsia="Times New Roman" w:hAnsi="Times New Roman"/>
          <w:sz w:val="17"/>
          <w:szCs w:val="17"/>
          <w:color w:val="auto"/>
        </w:rPr>
        <w:t>his acting as a director or officer of the Indemnitor or any affiliate of the Indemnitor from time to time, whether sustained or incurred by reason of the Indemnitee’s negligence, default, breach of duty, breach of trust, failure to exercise due diligence or otherwise in relation to the Indemnitor or any of its affiliates from time to time, or any of their respective affairs; and</w:t>
      </w:r>
    </w:p>
    <w:p>
      <w:pPr>
        <w:spacing w:after="0" w:line="122" w:lineRule="exact"/>
        <w:rPr>
          <w:sz w:val="20"/>
          <w:szCs w:val="20"/>
          <w:color w:val="auto"/>
        </w:rPr>
      </w:pPr>
    </w:p>
    <w:p>
      <w:pPr>
        <w:jc w:val="both"/>
        <w:ind w:left="520" w:hanging="6"/>
        <w:spacing w:after="0" w:line="220" w:lineRule="auto"/>
        <w:tabs>
          <w:tab w:leader="none" w:pos="102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and 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1.2 Notwithstanding the provisions of §1.1, the Indemnitor shall not be obligated to indemnify or save harmless the Indemnified Parties against and from any action, claim, cost, damage, charge, expense, fine, liability, loss or penalty:</w:t>
      </w:r>
    </w:p>
    <w:p>
      <w:pPr>
        <w:spacing w:after="0" w:line="122" w:lineRule="exact"/>
        <w:rPr>
          <w:sz w:val="20"/>
          <w:szCs w:val="20"/>
          <w:color w:val="auto"/>
        </w:rPr>
      </w:pPr>
    </w:p>
    <w:p>
      <w:pPr>
        <w:ind w:left="520" w:hanging="6"/>
        <w:spacing w:after="0" w:line="238" w:lineRule="auto"/>
        <w:tabs>
          <w:tab w:leader="none" w:pos="102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respect thereof the Indemnitee failed to act honestly and in good faith with a view to the best interests of the Indemnitor or its affiliate as the case may be;</w:t>
      </w:r>
    </w:p>
    <w:p>
      <w:pPr>
        <w:spacing w:after="0" w:line="1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criminal or administrative action or proceeding, if the Indemnitee did not have reasonable grounds for believing that his conduct was</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lawful;</w:t>
      </w:r>
    </w:p>
    <w:p>
      <w:pPr>
        <w:spacing w:after="0" w:line="126" w:lineRule="exact"/>
        <w:rPr>
          <w:rFonts w:ascii="Times New Roman" w:cs="Times New Roman" w:eastAsia="Times New Roman" w:hAnsi="Times New Roman"/>
          <w:sz w:val="17"/>
          <w:szCs w:val="17"/>
          <w:color w:val="auto"/>
        </w:rPr>
      </w:pPr>
    </w:p>
    <w:p>
      <w:pPr>
        <w:ind w:left="520" w:hanging="6"/>
        <w:spacing w:after="0" w:line="238" w:lineRule="auto"/>
        <w:tabs>
          <w:tab w:leader="none" w:pos="102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out of any act, error or omission of the Indemnitee that is fraudulent or malicious and that is committed by the Indemnitee with actual fraudulent or malicious purpose or intent; or</w:t>
      </w:r>
    </w:p>
    <w:p>
      <w:pPr>
        <w:spacing w:after="0" w:line="121" w:lineRule="exact"/>
        <w:rPr>
          <w:rFonts w:ascii="Times New Roman" w:cs="Times New Roman" w:eastAsia="Times New Roman" w:hAnsi="Times New Roman"/>
          <w:sz w:val="17"/>
          <w:szCs w:val="17"/>
          <w:color w:val="auto"/>
        </w:rPr>
      </w:pPr>
    </w:p>
    <w:p>
      <w:pPr>
        <w:jc w:val="both"/>
        <w:ind w:left="520" w:hanging="6"/>
        <w:spacing w:after="0" w:line="228" w:lineRule="auto"/>
        <w:tabs>
          <w:tab w:leader="none" w:pos="102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1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or she did not have reasonable grounds for believing that his conduct was lawful (unless the judgment or order of a court specifically finds otherwise) or that the Indemnitee had committed wilful neglect or gross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0" w:hanging="1015"/>
        <w:spacing w:after="0"/>
        <w:tabs>
          <w:tab w:leader="none" w:pos="102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DEFENSE</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For the purposes of this section 2:</w:t>
      </w:r>
    </w:p>
    <w:p>
      <w:pPr>
        <w:spacing w:after="0" w:line="140" w:lineRule="exact"/>
        <w:rPr>
          <w:sz w:val="20"/>
          <w:szCs w:val="20"/>
          <w:color w:val="auto"/>
        </w:rPr>
      </w:pPr>
    </w:p>
    <w:p>
      <w:pPr>
        <w:jc w:val="both"/>
        <w:ind w:left="520"/>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means any action, inquiry, investigation, suit or other proceeding before a court or other tribunal in which a Claim is brought, made or advanced by or against the Indemnitee;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w:t>
      </w:r>
      <w:r>
        <w:rPr>
          <w:rFonts w:ascii="Times New Roman" w:cs="Times New Roman" w:eastAsia="Times New Roman" w:hAnsi="Times New Roman"/>
          <w:sz w:val="17"/>
          <w:szCs w:val="17"/>
          <w:color w:val="auto"/>
        </w:rPr>
        <w:t>” means any allegation of charge, claim, cost, damage, expense, fine, liability, loss or penalty contemplated by §1.1;</w:t>
      </w:r>
    </w:p>
    <w:p>
      <w:pPr>
        <w:spacing w:after="0" w:line="144" w:lineRule="exact"/>
        <w:rPr>
          <w:sz w:val="20"/>
          <w:szCs w:val="20"/>
          <w:color w:val="auto"/>
        </w:rPr>
      </w:pPr>
    </w:p>
    <w:p>
      <w:pPr>
        <w:jc w:val="both"/>
        <w:ind w:left="520"/>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Judgment</w:t>
      </w:r>
      <w:r>
        <w:rPr>
          <w:rFonts w:ascii="Times New Roman" w:cs="Times New Roman" w:eastAsia="Times New Roman" w:hAnsi="Times New Roman"/>
          <w:sz w:val="17"/>
          <w:szCs w:val="17"/>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means an agreement to compromise a Claim or an Action.</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2.2 Upon the Indemnitee becoming aware of any pending or threatened Claim or Action, the Indemnitee must provide written notice of it to the Indemnitor as soon as is reasonably practicable.</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2.3 The Indemnitor shall have full power and authority to conduct such investigation of each Claim as is reasonably necessary in the circumstances and shall pay all costs of such investigation.</w:t>
      </w:r>
    </w:p>
    <w:p>
      <w:pPr>
        <w:spacing w:after="0" w:line="1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 indemnity hereunder if it has determined that none of the provisions of §1.2 apply to the Claim or Action.</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2.5 The Indemnitor shall consult with and pay reasonable heed to the Indemnitee concerning the appointment of any defence counsel to be engaged by the Indemnitor in fulfillment of its obligation to defend a Claim or Action, pursuant to §2.4.</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6"/>
          <w:szCs w:val="16"/>
          <w:color w:val="auto"/>
        </w:rPr>
        <w:t>With respect to a Claim or Action for which the Indemnitor is obliged to indemnify the Indemnitee hereunder:</w:t>
      </w:r>
    </w:p>
    <w:p>
      <w:pPr>
        <w:spacing w:after="0" w:line="144" w:lineRule="exact"/>
        <w:rPr>
          <w:sz w:val="20"/>
          <w:szCs w:val="20"/>
          <w:color w:val="auto"/>
        </w:rPr>
      </w:pPr>
    </w:p>
    <w:p>
      <w:pPr>
        <w:jc w:val="both"/>
        <w:ind w:left="520" w:hanging="6"/>
        <w:spacing w:after="0" w:line="223" w:lineRule="auto"/>
        <w:tabs>
          <w:tab w:leader="none" w:pos="102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indemnify the Indemnitor in respect of, or make contribution to, any compensation or other payment for which provision is made by such Settlement; and</w:t>
      </w:r>
    </w:p>
    <w:p>
      <w:pPr>
        <w:spacing w:after="0" w:line="122" w:lineRule="exact"/>
        <w:rPr>
          <w:rFonts w:ascii="Times New Roman" w:cs="Times New Roman" w:eastAsia="Times New Roman" w:hAnsi="Times New Roman"/>
          <w:sz w:val="17"/>
          <w:szCs w:val="17"/>
          <w:color w:val="auto"/>
        </w:rPr>
      </w:pPr>
    </w:p>
    <w:p>
      <w:pPr>
        <w:jc w:val="both"/>
        <w:ind w:left="520" w:hanging="6"/>
        <w:spacing w:after="0" w:line="228" w:lineRule="auto"/>
        <w:tabs>
          <w:tab w:leader="none" w:pos="102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line="238" w:lineRule="auto"/>
        <w:rPr>
          <w:sz w:val="20"/>
          <w:szCs w:val="20"/>
          <w:color w:val="auto"/>
        </w:rPr>
      </w:pPr>
      <w:r>
        <w:rPr>
          <w:rFonts w:ascii="Times New Roman" w:cs="Times New Roman" w:eastAsia="Times New Roman" w:hAnsi="Times New Roman"/>
          <w:sz w:val="17"/>
          <w:szCs w:val="17"/>
          <w:color w:val="auto"/>
        </w:rPr>
        <w:t>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12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together with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2.9 Upon the request of the Indemnitee and subject to the restrictions set out in the </w:t>
      </w:r>
      <w:r>
        <w:rPr>
          <w:rFonts w:ascii="Times New Roman" w:cs="Times New Roman" w:eastAsia="Times New Roman" w:hAnsi="Times New Roman"/>
          <w:sz w:val="16"/>
          <w:szCs w:val="16"/>
          <w:i w:val="1"/>
          <w:iCs w:val="1"/>
          <w:color w:val="auto"/>
        </w:rPr>
        <w:t>Business Corporations Act</w:t>
      </w:r>
      <w:r>
        <w:rPr>
          <w:rFonts w:ascii="Times New Roman" w:cs="Times New Roman" w:eastAsia="Times New Roman" w:hAnsi="Times New Roman"/>
          <w:sz w:val="16"/>
          <w:szCs w:val="16"/>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Times New Roman" w:cs="Times New Roman" w:eastAsia="Times New Roman" w:hAnsi="Times New Roman"/>
          <w:sz w:val="16"/>
          <w:szCs w:val="16"/>
          <w:i w:val="1"/>
          <w:iCs w:val="1"/>
          <w:color w:val="auto"/>
        </w:rPr>
        <w:t>Business Corporations Act</w:t>
      </w:r>
      <w:r>
        <w:rPr>
          <w:rFonts w:ascii="Times New Roman" w:cs="Times New Roman" w:eastAsia="Times New Roman" w:hAnsi="Times New Roman"/>
          <w:sz w:val="16"/>
          <w:szCs w:val="16"/>
          <w:color w:val="auto"/>
        </w:rPr>
        <w:t xml:space="preserve"> (British Columbia).</w:t>
      </w:r>
    </w:p>
    <w:p>
      <w:pPr>
        <w:spacing w:after="0" w:line="111" w:lineRule="exact"/>
        <w:rPr>
          <w:sz w:val="20"/>
          <w:szCs w:val="20"/>
          <w:color w:val="auto"/>
        </w:rPr>
      </w:pPr>
    </w:p>
    <w:p>
      <w:pPr>
        <w:ind w:left="1020" w:hanging="1015"/>
        <w:spacing w:after="0"/>
        <w:tabs>
          <w:tab w:leader="none" w:pos="102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6"/>
          <w:szCs w:val="16"/>
          <w:color w:val="auto"/>
        </w:rPr>
        <w:t>Nothing herein contained shall in any way affect the Indemnitee’s right to resign from his position as director or officer of the Indemnitor at any time.</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1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color w:val="auto"/>
        </w:rPr>
        <w:t>Unless stated otherwise, all monies to be paid hereunder shall be paid within 10 days of becoming payable.</w:t>
      </w:r>
    </w:p>
    <w:p>
      <w:pPr>
        <w:spacing w:after="0" w:line="14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3.5 The Indemnitee acknowledges that he or she has been advised to obtain independent legal advice with respect to entering into this Agreement, that he or she has obtained such independent legal advice or has expressly waived such advice, and that he or she is entering into this Agreement with full knowledge of the contents hereof, of his own free will and with full capacity and authority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3.7 Each party hereto agrees to do all such things and take all such actions as may be necessary or desirable to give full force and effect to the matters contemplated by this Agreement.</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3.8 This Agreement shall enure to the benefit of and be binding upon the parties hereto and their respective heirs, executors, administrators, legal representatives, successors and permitted assigns.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3.9</w:t>
      </w:r>
      <w:r>
        <w:rPr>
          <w:sz w:val="20"/>
          <w:szCs w:val="20"/>
          <w:color w:val="auto"/>
        </w:rPr>
        <w:tab/>
      </w:r>
      <w:r>
        <w:rPr>
          <w:rFonts w:ascii="Times New Roman" w:cs="Times New Roman" w:eastAsia="Times New Roman" w:hAnsi="Times New Roman"/>
          <w:sz w:val="16"/>
          <w:szCs w:val="16"/>
          <w:color w:val="auto"/>
        </w:rPr>
        <w:t>Time shall be of the essence of this Agreement.</w:t>
      </w:r>
    </w:p>
    <w:p>
      <w:pPr>
        <w:spacing w:after="0" w:line="144"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7"/>
          <w:szCs w:val="17"/>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parties hereto have duly executed this Agreement as of the date first written above.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-4445</wp:posOffset>
            </wp:positionV>
            <wp:extent cx="1079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18" w:name="page119"/>
    <w:bookmarkEnd w:id="118"/>
    <w:p>
      <w:pPr>
        <w:ind w:left="5500"/>
        <w:spacing w:after="0"/>
        <w:rPr>
          <w:sz w:val="20"/>
          <w:szCs w:val="20"/>
          <w:color w:val="auto"/>
        </w:rPr>
      </w:pPr>
      <w:r>
        <w:rPr>
          <w:rFonts w:ascii="Times New Roman" w:cs="Times New Roman" w:eastAsia="Times New Roman" w:hAnsi="Times New Roman"/>
          <w:sz w:val="17"/>
          <w:szCs w:val="17"/>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Signed, Sealed and Delivered by ________[insert name]__________ in the</w:t>
            </w: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60" w:type="dxa"/>
            <w:vAlign w:val="bottom"/>
            <w:gridSpan w:val="2"/>
            <w:vMerge w:val="continue"/>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60" w:type="dxa"/>
            <w:vAlign w:val="bottom"/>
            <w:gridSpan w:val="2"/>
          </w:tcPr>
          <w:p>
            <w:pPr>
              <w:spacing w:after="0" w:line="170" w:lineRule="exact"/>
              <w:rPr>
                <w:sz w:val="20"/>
                <w:szCs w:val="20"/>
                <w:color w:val="auto"/>
              </w:rPr>
            </w:pPr>
            <w:r>
              <w:rPr>
                <w:rFonts w:ascii="Times New Roman" w:cs="Times New Roman" w:eastAsia="Times New Roman" w:hAnsi="Times New Roman"/>
                <w:sz w:val="17"/>
                <w:szCs w:val="17"/>
                <w:color w:val="auto"/>
              </w:rPr>
              <w:t>presence of:</w:t>
            </w: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46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Witness (Signature)</w:t>
            </w:r>
          </w:p>
        </w:tc>
        <w:tc>
          <w:tcPr>
            <w:tcW w:w="520" w:type="dxa"/>
            <w:vAlign w:val="bottom"/>
          </w:tcPr>
          <w:p>
            <w:pPr>
              <w:jc w:val="right"/>
              <w:ind w:right="96"/>
              <w:spacing w:after="0" w:line="14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208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[insert name and sign above]</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46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Name (please print)</w:t>
            </w:r>
          </w:p>
        </w:tc>
        <w:tc>
          <w:tcPr>
            <w:tcW w:w="520" w:type="dxa"/>
            <w:vAlign w:val="bottom"/>
          </w:tcPr>
          <w:p>
            <w:pPr>
              <w:jc w:val="right"/>
              <w:ind w:right="96"/>
              <w:spacing w:after="0" w:line="14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460" w:type="dxa"/>
            <w:vAlign w:val="bottom"/>
            <w:gridSpan w:val="2"/>
          </w:tcPr>
          <w:p>
            <w:pPr>
              <w:spacing w:after="0" w:line="140" w:lineRule="exact"/>
              <w:rPr>
                <w:sz w:val="20"/>
                <w:szCs w:val="20"/>
                <w:color w:val="auto"/>
              </w:rPr>
            </w:pPr>
            <w:r>
              <w:rPr>
                <w:rFonts w:ascii="Times New Roman" w:cs="Times New Roman" w:eastAsia="Times New Roman" w:hAnsi="Times New Roman"/>
                <w:sz w:val="16"/>
                <w:szCs w:val="16"/>
                <w:color w:val="auto"/>
              </w:rPr>
              <w:t>Address</w:t>
            </w:r>
          </w:p>
        </w:tc>
        <w:tc>
          <w:tcPr>
            <w:tcW w:w="520" w:type="dxa"/>
            <w:vAlign w:val="bottom"/>
          </w:tcPr>
          <w:p>
            <w:pPr>
              <w:jc w:val="right"/>
              <w:ind w:right="96"/>
              <w:spacing w:after="0" w:line="14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20" w:type="dxa"/>
            <w:vAlign w:val="bottom"/>
          </w:tcPr>
          <w:p>
            <w:pPr>
              <w:jc w:val="right"/>
              <w:ind w:right="96"/>
              <w:spacing w:after="0" w:line="17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auto"/>
            </w:tcBorders>
          </w:tcPr>
          <w:p>
            <w:pPr>
              <w:spacing w:after="0"/>
              <w:rPr>
                <w:sz w:val="15"/>
                <w:szCs w:val="15"/>
                <w:color w:val="auto"/>
              </w:rPr>
            </w:pPr>
          </w:p>
        </w:tc>
        <w:tc>
          <w:tcPr>
            <w:tcW w:w="5300" w:type="dxa"/>
            <w:vAlign w:val="bottom"/>
          </w:tcPr>
          <w:p>
            <w:pPr>
              <w:spacing w:after="0"/>
              <w:rPr>
                <w:sz w:val="15"/>
                <w:szCs w:val="15"/>
                <w:color w:val="auto"/>
              </w:rPr>
            </w:pPr>
          </w:p>
        </w:tc>
        <w:tc>
          <w:tcPr>
            <w:tcW w:w="520" w:type="dxa"/>
            <w:vAlign w:val="bottom"/>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Province</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60" w:type="dxa"/>
            <w:vAlign w:val="bottom"/>
            <w:tcBorders>
              <w:bottom w:val="single" w:sz="8" w:color="auto"/>
            </w:tcBorders>
          </w:tcPr>
          <w:p>
            <w:pPr>
              <w:spacing w:after="0"/>
              <w:rPr>
                <w:sz w:val="24"/>
                <w:szCs w:val="24"/>
                <w:color w:val="auto"/>
              </w:rPr>
            </w:pPr>
          </w:p>
        </w:tc>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Occupation</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0159"/>
          </w:cols>
          <w:pgMar w:left="300" w:top="108" w:right="1440" w:bottom="1440" w:gutter="0" w:footer="0" w:header="0"/>
        </w:sectPr>
      </w:pPr>
    </w:p>
    <w:bookmarkStart w:id="119" w:name="page120"/>
    <w:bookmarkEnd w:id="119"/>
    <w:p>
      <w:pPr>
        <w:jc w:val="center"/>
        <w:ind w:right="-299"/>
        <w:spacing w:after="0"/>
        <w:rPr>
          <w:sz w:val="20"/>
          <w:szCs w:val="20"/>
          <w:color w:val="auto"/>
        </w:rPr>
      </w:pPr>
      <w:r>
        <w:rPr>
          <w:rFonts w:ascii="Times New Roman" w:cs="Times New Roman" w:eastAsia="Times New Roman" w:hAnsi="Times New Roman"/>
          <w:sz w:val="17"/>
          <w:szCs w:val="17"/>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Schedule to Exhibit 10.1</w:t>
      </w:r>
    </w:p>
    <w:p>
      <w:pPr>
        <w:spacing w:after="0" w:line="16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The following directors and executive officers are parties to an Indemnity Agreement with the Company, each of which are substantially identical in all material respects to the representative Indemnity Agreement filed herewith as Exhibit 10.1 except as to the name of the signatory and the effective date of each signatory’s Indemnity Agreement. The name of each signatory to the Indemnity Agreement is set forth below. The actual Indemnity Agreements are omitted pursuant to Instruction 2 to Item 601 of Regulation S-K.</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u w:val="single" w:color="auto"/>
          <w:color w:val="auto"/>
        </w:rPr>
        <w:t>INDEMNITEE</w:t>
      </w:r>
    </w:p>
    <w:p>
      <w:pPr>
        <w:spacing w:after="0" w:line="3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Lindsay Androski</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David C. Hastings</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Karen Sims MD, PhD</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J. Christopher Naftzger</w:t>
      </w:r>
    </w:p>
    <w:p>
      <w:pPr>
        <w:spacing w:after="0" w:line="1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Robert Alan Beardsley</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Joseph Bishop</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Matthew Gline</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Anuj Hasija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000"/>
          </w:cols>
          <w:pgMar w:left="300" w:top="108" w:right="5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PREPARED BY AND</w:t>
      </w:r>
    </w:p>
    <w:p>
      <w:pPr>
        <w:spacing w:after="0"/>
        <w:rPr>
          <w:sz w:val="20"/>
          <w:szCs w:val="20"/>
          <w:color w:val="auto"/>
        </w:rPr>
      </w:pPr>
      <w:r>
        <w:rPr>
          <w:rFonts w:ascii="Times New Roman" w:cs="Times New Roman" w:eastAsia="Times New Roman" w:hAnsi="Times New Roman"/>
          <w:sz w:val="17"/>
          <w:szCs w:val="17"/>
          <w:color w:val="auto"/>
        </w:rPr>
        <w:t>RECORD AND RETURN TO: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Christopher W. Rosenbleeth, Esquire</w:t>
      </w:r>
    </w:p>
    <w:p>
      <w:pPr>
        <w:spacing w:after="0" w:line="208" w:lineRule="auto"/>
        <w:rPr>
          <w:sz w:val="20"/>
          <w:szCs w:val="20"/>
          <w:color w:val="auto"/>
        </w:rPr>
      </w:pPr>
      <w:r>
        <w:rPr>
          <w:rFonts w:ascii="Times New Roman" w:cs="Times New Roman" w:eastAsia="Times New Roman" w:hAnsi="Times New Roman"/>
          <w:sz w:val="17"/>
          <w:szCs w:val="17"/>
          <w:color w:val="auto"/>
        </w:rPr>
        <w:t>Stradley Ronon Stevens &amp; Young, LLP</w:t>
      </w:r>
    </w:p>
    <w:p>
      <w:pPr>
        <w:spacing w:after="0" w:line="208" w:lineRule="auto"/>
        <w:rPr>
          <w:sz w:val="20"/>
          <w:szCs w:val="20"/>
          <w:color w:val="auto"/>
        </w:rPr>
      </w:pPr>
      <w:r>
        <w:rPr>
          <w:rFonts w:ascii="Times New Roman" w:cs="Times New Roman" w:eastAsia="Times New Roman" w:hAnsi="Times New Roman"/>
          <w:sz w:val="17"/>
          <w:szCs w:val="17"/>
          <w:color w:val="auto"/>
        </w:rPr>
        <w:t>2600 One Commerce Square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PA 19103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Location: 701 Veterans Circle</w:t>
      </w:r>
    </w:p>
    <w:p>
      <w:pPr>
        <w:spacing w:after="0" w:line="208" w:lineRule="auto"/>
        <w:rPr>
          <w:sz w:val="20"/>
          <w:szCs w:val="20"/>
          <w:color w:val="auto"/>
        </w:rPr>
      </w:pPr>
      <w:r>
        <w:rPr>
          <w:rFonts w:ascii="Times New Roman" w:cs="Times New Roman" w:eastAsia="Times New Roman" w:hAnsi="Times New Roman"/>
          <w:sz w:val="17"/>
          <w:szCs w:val="17"/>
          <w:color w:val="auto"/>
        </w:rPr>
        <w:t>Municipality: Warminster Township</w:t>
      </w:r>
    </w:p>
    <w:p>
      <w:pPr>
        <w:spacing w:after="0" w:line="208" w:lineRule="auto"/>
        <w:rPr>
          <w:sz w:val="20"/>
          <w:szCs w:val="20"/>
          <w:color w:val="auto"/>
        </w:rPr>
      </w:pPr>
      <w:r>
        <w:rPr>
          <w:rFonts w:ascii="Times New Roman" w:cs="Times New Roman" w:eastAsia="Times New Roman" w:hAnsi="Times New Roman"/>
          <w:sz w:val="17"/>
          <w:szCs w:val="17"/>
          <w:color w:val="auto"/>
        </w:rPr>
        <w:t>County: Bucks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Pennsylvania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SUBORDINATION, NON-DISTURBANCE AND ATTORNMENT AGREEMENT</w:t>
      </w:r>
    </w:p>
    <w:p>
      <w:pPr>
        <w:spacing w:after="0" w:line="186"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THIS SUBORDINATION, NON-DISTURBANCE AND ATTORNMENT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dated as of December ___, 2023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xml:space="preserve">”), by and among </w:t>
      </w:r>
      <w:r>
        <w:rPr>
          <w:rFonts w:ascii="Times New Roman" w:cs="Times New Roman" w:eastAsia="Times New Roman" w:hAnsi="Times New Roman"/>
          <w:sz w:val="17"/>
          <w:szCs w:val="17"/>
          <w:b w:val="1"/>
          <w:bCs w:val="1"/>
          <w:color w:val="auto"/>
        </w:rPr>
        <w:t>UNIVEST BANK AND TRUST 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VETERANS CIRCLE GROUP, LLC</w:t>
      </w:r>
      <w:r>
        <w:rPr>
          <w:rFonts w:ascii="Times New Roman" w:cs="Times New Roman" w:eastAsia="Times New Roman" w:hAnsi="Times New Roman"/>
          <w:sz w:val="17"/>
          <w:szCs w:val="17"/>
          <w:color w:val="auto"/>
        </w:rPr>
        <w:t>, a Pennsylvania limited liability company (“</w:t>
      </w:r>
      <w:r>
        <w:rPr>
          <w:rFonts w:ascii="Times New Roman" w:cs="Times New Roman" w:eastAsia="Times New Roman" w:hAnsi="Times New Roman"/>
          <w:sz w:val="17"/>
          <w:szCs w:val="17"/>
          <w:b w:val="1"/>
          <w:bCs w:val="1"/>
          <w:color w:val="auto"/>
        </w:rPr>
        <w:t>Landlord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ARBUTUS BIOPHARMA,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Tenant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9" w:lineRule="exact"/>
        <w:rPr>
          <w:sz w:val="20"/>
          <w:szCs w:val="20"/>
          <w:color w:val="auto"/>
        </w:rPr>
      </w:pPr>
    </w:p>
    <w:p>
      <w:pPr>
        <w:ind w:firstLine="514"/>
        <w:spacing w:after="0" w:line="238" w:lineRule="auto"/>
        <w:tabs>
          <w:tab w:leader="none" w:pos="8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Landlord is the legal and record owner of the real property in Warminster Township, Bucks County, Pennsylvania, as more fully set forth and referred to on the legal description attached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to this Agreement (the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ind w:firstLine="514"/>
        <w:spacing w:after="0" w:line="238" w:lineRule="auto"/>
        <w:tabs>
          <w:tab w:leader="none" w:pos="8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has leased a portion of the Property to Tenant pursuant to the terms of that certain Lease Agreement, dated as of August 9, 2016 (as amended, restated, modified or supplemented from time to time,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jc w:val="both"/>
        <w:ind w:firstLine="514"/>
        <w:spacing w:after="0" w:line="217" w:lineRule="auto"/>
        <w:tabs>
          <w:tab w:leader="none" w:pos="88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about the date hereof, as collateral for certain financing provided to Landlord by Bank, Landlord has executed and delivered to Bank a certain Open-End Mortgage and Security Agreement (as amended, restated, modified or supplemented from time to time, the “</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and a separate Assignment of Rents and Leases (as amended, restated, modified or supplemented from time to time, the “</w:t>
      </w:r>
      <w:r>
        <w:rPr>
          <w:rFonts w:ascii="Times New Roman" w:cs="Times New Roman" w:eastAsia="Times New Roman" w:hAnsi="Times New Roman"/>
          <w:sz w:val="17"/>
          <w:szCs w:val="17"/>
          <w:b w:val="1"/>
          <w:bCs w:val="1"/>
          <w:color w:val="auto"/>
        </w:rPr>
        <w:t>Assignment of Rents and Leases</w:t>
      </w:r>
      <w:r>
        <w:rPr>
          <w:rFonts w:ascii="Times New Roman" w:cs="Times New Roman" w:eastAsia="Times New Roman" w:hAnsi="Times New Roman"/>
          <w:sz w:val="17"/>
          <w:szCs w:val="17"/>
          <w:color w:val="auto"/>
        </w:rPr>
        <w:t>”) which, among other things, grant and create a mortgage lien on Landlord’s interest in the Property, and all rental, lease and other payments made with respect to the Property. The Mortgage and the Assignment of Rents and Leases are sometimes referred to, collectively, as the “</w:t>
      </w:r>
      <w:r>
        <w:rPr>
          <w:rFonts w:ascii="Times New Roman" w:cs="Times New Roman" w:eastAsia="Times New Roman" w:hAnsi="Times New Roman"/>
          <w:sz w:val="17"/>
          <w:szCs w:val="17"/>
          <w:b w:val="1"/>
          <w:bCs w:val="1"/>
          <w:color w:val="auto"/>
        </w:rPr>
        <w:t>Mortgage Documents</w:t>
      </w:r>
      <w:r>
        <w:rPr>
          <w:rFonts w:ascii="Times New Roman" w:cs="Times New Roman" w:eastAsia="Times New Roman" w:hAnsi="Times New Roman"/>
          <w:sz w:val="17"/>
          <w:szCs w:val="17"/>
          <w:color w:val="auto"/>
        </w:rPr>
        <w:t>”. The Mortgage Documents and all related agreements, documents and instruments executed by Landlord in favor of Bank, as the same may be as amended, restated, modified or supplemented from time to time, are sometimes referred to below as the “</w:t>
      </w: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firstLine="514"/>
        <w:spacing w:after="0" w:line="238" w:lineRule="auto"/>
        <w:tabs>
          <w:tab w:leader="none" w:pos="85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desire to confirm that the Lease is subordinate to the lien of the Mortgage Documents, to establish rights of quiet possession for the benefit of Tenant under the Lease and to define the terms, covenants and conditions precedent therefor.</w:t>
      </w:r>
    </w:p>
    <w:p>
      <w:pPr>
        <w:spacing w:after="0" w:line="143"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NOW, THEREFORE, in consideration of the above premises, and other good and valuable consideration, the receipt and sufficiency of which are hereby acknowledged, it is hereby agreed by the parties as follows, with the intent to be legally bound:</w:t>
      </w:r>
    </w:p>
    <w:p>
      <w:pPr>
        <w:sectPr>
          <w:pgSz w:w="11900" w:h="16838" w:orient="portrait"/>
          <w:cols w:equalWidth="0" w:num="1">
            <w:col w:w="11280"/>
          </w:cols>
          <w:pgMar w:left="300" w:top="111" w:right="319" w:bottom="1440" w:gutter="0" w:footer="0" w:header="0"/>
        </w:sectPr>
      </w:pPr>
    </w:p>
    <w:bookmarkStart w:id="121" w:name="page122"/>
    <w:bookmarkEnd w:id="121"/>
    <w:p>
      <w:pPr>
        <w:jc w:val="both"/>
        <w:ind w:firstLine="764"/>
        <w:spacing w:after="0" w:line="223" w:lineRule="auto"/>
        <w:rPr>
          <w:sz w:val="20"/>
          <w:szCs w:val="20"/>
          <w:color w:val="auto"/>
        </w:rPr>
      </w:pPr>
      <w:r>
        <w:rPr>
          <w:rFonts w:ascii="Times New Roman" w:cs="Times New Roman" w:eastAsia="Times New Roman" w:hAnsi="Times New Roman"/>
          <w:sz w:val="17"/>
          <w:szCs w:val="17"/>
          <w:u w:val="single" w:color="auto"/>
          <w:color w:val="auto"/>
        </w:rPr>
        <w:t>Subordination</w:t>
      </w:r>
      <w:r>
        <w:rPr>
          <w:rFonts w:ascii="Times New Roman" w:cs="Times New Roman" w:eastAsia="Times New Roman" w:hAnsi="Times New Roman"/>
          <w:sz w:val="17"/>
          <w:szCs w:val="17"/>
          <w:color w:val="auto"/>
        </w:rPr>
        <w:t>. The Lease (including all of the terms, covenants and provisions thereof) is and shall be subject and subordinate in all respects to the Mortgage Documents and all advances made thereunder and under the other Loan Documents, to the full extent of any and all amounts from time to time secured thereby and interest thereon, all with the same force and effect as if the Mortgage Documents had been executed, delivered, and recorded prior to the execution and delivery of the Lease.</w:t>
      </w:r>
    </w:p>
    <w:p>
      <w:pPr>
        <w:spacing w:after="0" w:line="143" w:lineRule="exact"/>
        <w:rPr>
          <w:sz w:val="20"/>
          <w:szCs w:val="20"/>
          <w:color w:val="auto"/>
        </w:rPr>
      </w:pPr>
    </w:p>
    <w:p>
      <w:pPr>
        <w:jc w:val="both"/>
        <w:ind w:firstLine="711"/>
        <w:spacing w:after="0" w:line="220" w:lineRule="auto"/>
        <w:rPr>
          <w:sz w:val="20"/>
          <w:szCs w:val="20"/>
          <w:color w:val="auto"/>
        </w:rPr>
      </w:pPr>
      <w:r>
        <w:rPr>
          <w:rFonts w:ascii="Times New Roman" w:cs="Times New Roman" w:eastAsia="Times New Roman" w:hAnsi="Times New Roman"/>
          <w:sz w:val="17"/>
          <w:szCs w:val="17"/>
          <w:u w:val="single" w:color="auto"/>
          <w:color w:val="auto"/>
        </w:rPr>
        <w:t>Attornment</w:t>
      </w:r>
      <w:r>
        <w:rPr>
          <w:rFonts w:ascii="Times New Roman" w:cs="Times New Roman" w:eastAsia="Times New Roman" w:hAnsi="Times New Roman"/>
          <w:sz w:val="17"/>
          <w:szCs w:val="17"/>
          <w:color w:val="auto"/>
        </w:rPr>
        <w:t>. Tenant, for itself and its successors and assigns, agrees that it will attorn to and recognize any purchaser of the Property at a foreclosure sale under the Mortgage, or any transferee who acquires the Property by deed in lieu of foreclosure or otherwise, and the successors and assigns of such purchaser or transferee, as its landlord for the unexpired balance (and any extensions or renewals, if previously, at that time or thereafter exercised by Tenant) of the term of the Lease upon the same terms and conditions set forth in the Lease, which Lease shall remain in full force and effect as the current Lease between Tenant and Landlord, subject to the other terms of this Agreement.</w:t>
      </w:r>
    </w:p>
    <w:p>
      <w:pPr>
        <w:spacing w:after="0" w:line="144" w:lineRule="exact"/>
        <w:rPr>
          <w:sz w:val="20"/>
          <w:szCs w:val="20"/>
          <w:color w:val="auto"/>
        </w:rPr>
      </w:pPr>
    </w:p>
    <w:p>
      <w:pPr>
        <w:jc w:val="both"/>
        <w:ind w:firstLine="764"/>
        <w:spacing w:after="0" w:line="212" w:lineRule="auto"/>
        <w:rPr>
          <w:sz w:val="20"/>
          <w:szCs w:val="20"/>
          <w:color w:val="auto"/>
        </w:rPr>
      </w:pPr>
      <w:r>
        <w:rPr>
          <w:rFonts w:ascii="Times New Roman" w:cs="Times New Roman" w:eastAsia="Times New Roman" w:hAnsi="Times New Roman"/>
          <w:sz w:val="17"/>
          <w:szCs w:val="17"/>
          <w:u w:val="single" w:color="auto"/>
          <w:color w:val="auto"/>
        </w:rPr>
        <w:t>Non-Disturbance</w:t>
      </w:r>
      <w:r>
        <w:rPr>
          <w:rFonts w:ascii="Times New Roman" w:cs="Times New Roman" w:eastAsia="Times New Roman" w:hAnsi="Times New Roman"/>
          <w:sz w:val="17"/>
          <w:szCs w:val="17"/>
          <w:color w:val="auto"/>
        </w:rPr>
        <w:t>. Bank, for itself and its successors and assigns, for any purchaser at a foreclosure sale under the Mortgage, for any transferee who acquires the Property by deed in lieu of foreclosure or otherwise, and for the successors and assigns of such purchaser and transferee (Bank and each such other party being a “</w:t>
      </w:r>
      <w:r>
        <w:rPr>
          <w:rFonts w:ascii="Times New Roman" w:cs="Times New Roman" w:eastAsia="Times New Roman" w:hAnsi="Times New Roman"/>
          <w:sz w:val="17"/>
          <w:szCs w:val="17"/>
          <w:b w:val="1"/>
          <w:bCs w:val="1"/>
          <w:color w:val="auto"/>
        </w:rPr>
        <w:t>New Landlord</w:t>
      </w:r>
      <w:r>
        <w:rPr>
          <w:rFonts w:ascii="Times New Roman" w:cs="Times New Roman" w:eastAsia="Times New Roman" w:hAnsi="Times New Roman"/>
          <w:sz w:val="17"/>
          <w:szCs w:val="17"/>
          <w:color w:val="auto"/>
        </w:rPr>
        <w:t>”), covenants and agrees with Tenant that if Bank or other New Landlord shall commence any proceedings to foreclose the Mortgage for any reason whatsoever, or shall succeed to the interest of Landlord by foreclosure, deed in lieu thereof or otherwise, provided that (a) the Lease is at all times in full force and effect; (b) Tenant is in possession of the Property; and (c) Tenant is not then in default under the Lease, then: (i) Tenant shall not be named as a party defendant in any foreclosure action unless Tenant is required by applicable law, order, regulation, rule or decision to be a necessary party; (ii) the right of possession by Tenant to the Property and any or all of Tenant’s rights under the Lease shall not be terminated by Bank (or by anyone claiming by, through or under Bank) in the exercise of any of Bank’s rights under the Mortgage Documents, or as successor or assignee of Landlord under the Lease; (iii) Tenant’s possession of the Property and Tenant’s rights and privileges under the Lease shall not be diminished, interfered with, or disturbed by such Bank or such other New Landlord by any steps or proceedings taken by Bank in exercise of any of its rights under the Mortgage, including, without limitation, foreclosure under the Mortgage or by any such attempt to foreclose or to succeed to the interests of Landlord by foreclosure, deed in lieu thereof or otherwise, or by any termination of the Lease, except upon a default by Tenant under the terms of the Lease; and (iv) the Lease shall not be terminated or affected by said exercise of any of its right provided for under the Mortgage, and Bank hereby covenants that any sale by it of the Property pursuant to the exercise of any rights and remedies under the Mortgage or otherwise, shall be made subject to the Lease and the rights of Tenant thereunder.</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Bank or any other New Landlord shall succeed to the interest of Landlord under the Lease, Tenant agrees that:</w:t>
      </w:r>
    </w:p>
    <w:p>
      <w:pPr>
        <w:spacing w:after="0" w:line="165" w:lineRule="exact"/>
        <w:rPr>
          <w:sz w:val="20"/>
          <w:szCs w:val="20"/>
          <w:color w:val="auto"/>
        </w:rPr>
      </w:pPr>
    </w:p>
    <w:p>
      <w:pPr>
        <w:jc w:val="both"/>
        <w:ind w:firstLine="1023"/>
        <w:spacing w:after="0" w:line="220" w:lineRule="auto"/>
        <w:tabs>
          <w:tab w:leader="none" w:pos="14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or such other New Landlord shall not be bound by (I) any rent or additional rent which Tenant shall have paid more than one (1) month in advance to any prior landlord (including Landlord); (II) any covenant to undertake or complete any improvement to the Property (except to the extent such improvement has commenced but not yet completed); or (III) any amendment or modification to the Lease, or waiver of any provision of the Lease, which has not been consented to in writing by Bank (provided, however, that this subpart (III) shall not apply to amendments, modifications, or waivers, which were effectuated prior to the Effective Date of this Agreement);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2" w:lineRule="exact"/>
        <w:rPr>
          <w:rFonts w:ascii="Times New Roman" w:cs="Times New Roman" w:eastAsia="Times New Roman" w:hAnsi="Times New Roman"/>
          <w:sz w:val="17"/>
          <w:szCs w:val="17"/>
          <w:color w:val="auto"/>
        </w:rPr>
      </w:pPr>
    </w:p>
    <w:p>
      <w:pPr>
        <w:ind w:left="5600" w:hanging="97"/>
        <w:spacing w:after="0"/>
        <w:tabs>
          <w:tab w:leader="none" w:pos="56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t>
      </w:r>
    </w:p>
    <w:p>
      <w:pPr>
        <w:sectPr>
          <w:pgSz w:w="11900" w:h="16838" w:orient="portrait"/>
          <w:cols w:equalWidth="0" w:num="1">
            <w:col w:w="11280"/>
          </w:cols>
          <w:pgMar w:left="300" w:top="1127" w:right="319" w:bottom="1440" w:gutter="0" w:footer="0" w:header="0"/>
        </w:sectPr>
      </w:pPr>
    </w:p>
    <w:bookmarkStart w:id="122" w:name="page123"/>
    <w:bookmarkEnd w:id="122"/>
    <w:p>
      <w:pPr>
        <w:jc w:val="both"/>
        <w:ind w:firstLine="1023"/>
        <w:spacing w:after="0" w:line="217" w:lineRule="auto"/>
        <w:tabs>
          <w:tab w:leader="none" w:pos="144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in writing by New Landlord, no New Landlord (including, without limitation, Bank) shall be liable for: (I) any act or omission of any prior landlord (including Landlord) except for acts or omissions of a continuing nature which continue after such time as New Landlord comes into possession of or acquires title to all or any portion of the Property; (II) return of any security deposit made by Tenant to Landlord, unless such New Landlord shall have actually received such security deposit from Landlord and as provided in the Lease; or (III) any payment to Tenant of any sums, or the granting to Tenant of any credit, in the nature of a contribution towards the cost of preparing, furnishing, or moving into the Property or any portion thereof (provided, for clarity, nothing in subparts (I), (II), and/or (III) shall preclude Tenant from pursuing or enforcing a remedy or right available to it under the Lease or in accordance with law, which remedy or right arises or relates to acts or omissions that occur prior to New Landlord’s exercise of rights provided hereunder); and</w:t>
      </w:r>
    </w:p>
    <w:p>
      <w:pPr>
        <w:spacing w:after="0" w:line="142" w:lineRule="exact"/>
        <w:rPr>
          <w:rFonts w:ascii="Times New Roman" w:cs="Times New Roman" w:eastAsia="Times New Roman" w:hAnsi="Times New Roman"/>
          <w:sz w:val="17"/>
          <w:szCs w:val="17"/>
          <w:color w:val="auto"/>
        </w:rPr>
      </w:pPr>
    </w:p>
    <w:p>
      <w:pPr>
        <w:jc w:val="both"/>
        <w:ind w:firstLine="1023"/>
        <w:spacing w:after="0" w:line="220" w:lineRule="auto"/>
        <w:tabs>
          <w:tab w:leader="none" w:pos="143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partner, officer, director, shareholder or agent of Bank or other New Landlord, or any successor or assign of any of the foregoing, shall have any personal liability, directly or indirectly, under or in connection with the Lease or this Agreement or any amendment or amendments to either thereof made at any time or times, heretofore or hereafter. Tenant forever and irrevocably waives and releases any and all such personal liability, as described in the foregoing sentence. The limitation of liability provided in this Section is in addition to, and not in limitation of, any limitation on liability applicable to Bank or such other New Landlord provided by law or by any other contract, agreement or instrument.</w:t>
      </w:r>
    </w:p>
    <w:p>
      <w:pPr>
        <w:spacing w:after="0" w:line="144" w:lineRule="exact"/>
        <w:rPr>
          <w:sz w:val="20"/>
          <w:szCs w:val="20"/>
          <w:color w:val="auto"/>
        </w:rPr>
      </w:pPr>
    </w:p>
    <w:p>
      <w:pPr>
        <w:jc w:val="both"/>
        <w:ind w:firstLine="753"/>
        <w:spacing w:after="0" w:line="220" w:lineRule="auto"/>
        <w:rPr>
          <w:sz w:val="20"/>
          <w:szCs w:val="20"/>
          <w:color w:val="auto"/>
        </w:rPr>
      </w:pPr>
      <w:r>
        <w:rPr>
          <w:rFonts w:ascii="Times New Roman" w:cs="Times New Roman" w:eastAsia="Times New Roman" w:hAnsi="Times New Roman"/>
          <w:sz w:val="17"/>
          <w:szCs w:val="17"/>
          <w:u w:val="single" w:color="auto"/>
          <w:color w:val="auto"/>
        </w:rPr>
        <w:t>Bank’s Consent</w:t>
      </w:r>
      <w:r>
        <w:rPr>
          <w:rFonts w:ascii="Times New Roman" w:cs="Times New Roman" w:eastAsia="Times New Roman" w:hAnsi="Times New Roman"/>
          <w:sz w:val="17"/>
          <w:szCs w:val="17"/>
          <w:color w:val="auto"/>
        </w:rPr>
        <w:t xml:space="preserve">. Landlord’s consent, approval or waiver under or with respect to the Lease or the Property, or any matter related thereto shall not be effective unless such consent, approval or waiver is accompanied by the written consent of Bank. Without limiting the generality of the foregoing, Tenant will not, without the prior written consent of Bank: (a) enter into any agreement amending the Lease; (b) terminate, cancel the term of, or surrender, the Lease except as a result of a default by Landlord thereunder and subject to Bank’s rights pursuant to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 or (c) assign or sublet all or any part of the Property, except only pursuant to any assignment or sublease which, under the express provisions of the Lease, Tenant is entitled to make without the consent of Landlord.</w:t>
      </w:r>
    </w:p>
    <w:p>
      <w:pPr>
        <w:spacing w:after="0" w:line="144" w:lineRule="exact"/>
        <w:rPr>
          <w:sz w:val="20"/>
          <w:szCs w:val="20"/>
          <w:color w:val="auto"/>
        </w:rPr>
      </w:pPr>
    </w:p>
    <w:p>
      <w:pPr>
        <w:jc w:val="both"/>
        <w:ind w:firstLine="732"/>
        <w:spacing w:after="0" w:line="213" w:lineRule="auto"/>
        <w:rPr>
          <w:sz w:val="20"/>
          <w:szCs w:val="20"/>
          <w:color w:val="auto"/>
        </w:rPr>
      </w:pPr>
      <w:r>
        <w:rPr>
          <w:rFonts w:ascii="Times New Roman" w:cs="Times New Roman" w:eastAsia="Times New Roman" w:hAnsi="Times New Roman"/>
          <w:sz w:val="17"/>
          <w:szCs w:val="17"/>
          <w:u w:val="single" w:color="auto"/>
          <w:color w:val="auto"/>
        </w:rPr>
        <w:t>Cure Right</w:t>
      </w:r>
      <w:r>
        <w:rPr>
          <w:rFonts w:ascii="Times New Roman" w:cs="Times New Roman" w:eastAsia="Times New Roman" w:hAnsi="Times New Roman"/>
          <w:sz w:val="17"/>
          <w:szCs w:val="17"/>
          <w:color w:val="auto"/>
        </w:rPr>
        <w:t>. Notwithstanding anything to the contrary contained in the Lease, Tenant hereby agrees that in the event of any act, omission or default by Landlord or Landlord’s agents, employees, contractors, licensees or invitees which would give Tenant the right, either immediately or after the lapse of a period of time, to terminate the Lease, or to claim a partial or total eviction, or to reduce the rent payable thereunder or credit or offset any amounts against future rents payable thereunder, Tenant will not exercise any such right (a) until it has given written notice of such act, omission or default to Lender by delivering notice of such act, omission or default, in accordance with this Agreement; and (b) until a period of not less than thirty (30) days for remedying such act, omission or default shall have elapsed following the giving of such notice. Notwithstanding the foregoing, in the case of any default of Landlord which cannot be cured within such thirty (30) day period, if Bank shall within such period commence and diligently pursue the cure of the same (including such time as may be necessary to acquire possession of the Property if possession is necessary to effect such cure) and thereafter shall prosecute the curing of such default with diligence, then the time within which such default may be cured by Bank shall be extended for such period as may be reasonably necessary to complete the curing of the same with diligence. Bank’s cure of Landlord’s default shall not be considered an assumption by Bank of Landlord’s other obligations under the Lease. Unless Bank otherwise agrees in writing or becomes a New Landlord, Landlord shall remain solely liable to perform Landlord’s obligations under the Lease (but only to the extent required by and subject to the limitation included with the Lease), both before and after Bank’s exercise of any other right or remedy under this Agreement. If Bank or any successor or assign becomes obligated to perform as Landlord under the Lease, such person or entity will be released from</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ectPr>
          <w:pgSz w:w="11900" w:h="16838" w:orient="portrait"/>
          <w:cols w:equalWidth="0" w:num="1">
            <w:col w:w="11280"/>
          </w:cols>
          <w:pgMar w:left="300" w:top="1127"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color w:val="auto"/>
        </w:rPr>
        <w:t>those obligations arising or owed after the effective date on which such person or entity assigns, sells or otherwise transfers its interest in the Property.</w:t>
      </w:r>
    </w:p>
    <w:p>
      <w:pPr>
        <w:spacing w:after="0" w:line="165" w:lineRule="exact"/>
        <w:rPr>
          <w:sz w:val="20"/>
          <w:szCs w:val="20"/>
          <w:color w:val="auto"/>
        </w:rPr>
      </w:pPr>
    </w:p>
    <w:p>
      <w:pPr>
        <w:jc w:val="both"/>
        <w:ind w:firstLine="743"/>
        <w:spacing w:after="0" w:line="217" w:lineRule="auto"/>
        <w:rPr>
          <w:sz w:val="20"/>
          <w:szCs w:val="20"/>
          <w:color w:val="auto"/>
        </w:rPr>
      </w:pPr>
      <w:r>
        <w:rPr>
          <w:rFonts w:ascii="Times New Roman" w:cs="Times New Roman" w:eastAsia="Times New Roman" w:hAnsi="Times New Roman"/>
          <w:sz w:val="17"/>
          <w:szCs w:val="17"/>
          <w:u w:val="single" w:color="auto"/>
          <w:color w:val="auto"/>
        </w:rPr>
        <w:t>Estoppel Certificate</w:t>
      </w:r>
      <w:r>
        <w:rPr>
          <w:rFonts w:ascii="Times New Roman" w:cs="Times New Roman" w:eastAsia="Times New Roman" w:hAnsi="Times New Roman"/>
          <w:sz w:val="17"/>
          <w:szCs w:val="17"/>
          <w:color w:val="auto"/>
        </w:rPr>
        <w:t>. Tenant agrees at any time and from time to time to execute, deliver and acknowledge to Landlord, to Bank or to any third party reasonably designated by Landlord or by Bank within ten (10) days following Landlord’s or Bank’s written request therefor: a statement in writing (a) certifying that the Lease is in full force and effect, that Landlord is not in default thereunder (or specifying any default by Landlord which Tenant alleges), that rent has not been prepaid more than one (1) month in advance, and specifying any further information as required by the Lease; (b) that Tenant will recognize Bank as assignee of Landlord’s rights under the Lease, as applicable, pursuant to this Agreement; and (c) acknowledging or denying receipt of notice of any conditional or security assignment of the Lease to any third party. Tenant understands that Bank and/or prospective purchasers, or other secured parties will rely on such certificates. Tenant’s obligation to deliver such certificates within ten (10) days as described above is a material obligation of Tenant, under this Agreement.</w:t>
      </w:r>
    </w:p>
    <w:p>
      <w:pPr>
        <w:spacing w:after="0" w:line="142" w:lineRule="exact"/>
        <w:rPr>
          <w:sz w:val="20"/>
          <w:szCs w:val="20"/>
          <w:color w:val="auto"/>
        </w:rPr>
      </w:pPr>
    </w:p>
    <w:p>
      <w:pPr>
        <w:jc w:val="both"/>
        <w:ind w:firstLine="711"/>
        <w:spacing w:after="0" w:line="220" w:lineRule="auto"/>
        <w:rPr>
          <w:sz w:val="20"/>
          <w:szCs w:val="20"/>
          <w:color w:val="auto"/>
        </w:rPr>
      </w:pPr>
      <w:r>
        <w:rPr>
          <w:rFonts w:ascii="Times New Roman" w:cs="Times New Roman" w:eastAsia="Times New Roman" w:hAnsi="Times New Roman"/>
          <w:sz w:val="17"/>
          <w:szCs w:val="17"/>
          <w:u w:val="single" w:color="auto"/>
          <w:color w:val="auto"/>
        </w:rPr>
        <w:t>Further Subordination</w:t>
      </w:r>
      <w:r>
        <w:rPr>
          <w:rFonts w:ascii="Times New Roman" w:cs="Times New Roman" w:eastAsia="Times New Roman" w:hAnsi="Times New Roman"/>
          <w:sz w:val="17"/>
          <w:szCs w:val="17"/>
          <w:color w:val="auto"/>
        </w:rPr>
        <w:t>. Tenant, for itself and its successors and assigns, agrees that, without the prior written consent of Bank, Tenant shall not: (a) enter into any subordination agreement with any person other than Bank; or (b) agree to attorn to or recognize any purchaser of the Property at any foreclosure sale under any lien other than that of Bank or any transferee who acquires the Property by deed in lieu of foreclosure or otherwise under any lien other those of the Mortgage Documents (provided, however, that this provision shall not be deemed to constitute Bank’s consent to the placing of any lien, other than as created by the Mortgage Documents, on the Property).</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514"/>
        <w:spacing w:after="0" w:line="228" w:lineRule="auto"/>
        <w:tabs>
          <w:tab w:leader="none" w:pos="81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To the fullest extent permitted by applicable law, Tenant and Landlord shall not assert, and hereby waive any claim against Bank, on any theory of liability, for special, indirect, consequential, exemplary, speculative or punitive damages (but excluding direct or actual damages) arising out of, in connection with or as a result of, this Agreement, the Loan Documents, the transactions contemplated hereby or thereby or any loan or the use of the proceeds.</w:t>
      </w:r>
    </w:p>
    <w:p>
      <w:pPr>
        <w:spacing w:after="0" w:line="143" w:lineRule="exact"/>
        <w:rPr>
          <w:rFonts w:ascii="Times New Roman" w:cs="Times New Roman" w:eastAsia="Times New Roman" w:hAnsi="Times New Roman"/>
          <w:sz w:val="17"/>
          <w:szCs w:val="17"/>
          <w:color w:val="auto"/>
        </w:rPr>
      </w:pPr>
    </w:p>
    <w:p>
      <w:pPr>
        <w:jc w:val="both"/>
        <w:ind w:firstLine="514"/>
        <w:spacing w:after="0" w:line="220" w:lineRule="auto"/>
        <w:tabs>
          <w:tab w:leader="none" w:pos="94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Each notice, demand or other communication in connection with this Agreement shall be in writing and shall be deemed to be given to and served upon the addressee thereof on the earlier of (a) actual delivery to such addressee at its address set forth below; or (b) the third business day after the deposit thereof in the United States mails, registered or certified mail, return receipt requested, first class postage prepaid, addressed to such addressee at its address set out above. By notice complying with this Section, any party from time to time may designate a different address as its address for the purpose of the receipt of notice hereunder.</w:t>
      </w:r>
    </w:p>
    <w:p>
      <w:pPr>
        <w:sectPr>
          <w:pgSz w:w="11900" w:h="16838" w:orient="portrait"/>
          <w:cols w:equalWidth="0" w:num="1">
            <w:col w:w="11280"/>
          </w:cols>
          <w:pgMar w:left="300" w:top="1127" w:right="319" w:bottom="1440" w:gutter="0" w:footer="0" w:header="0"/>
        </w:sectPr>
      </w:pP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If to Bank:</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Univest Bank and Trust Co.</w:t>
      </w:r>
    </w:p>
    <w:p>
      <w:pPr>
        <w:ind w:left="460"/>
        <w:spacing w:after="0" w:line="208" w:lineRule="auto"/>
        <w:rPr>
          <w:sz w:val="20"/>
          <w:szCs w:val="20"/>
          <w:color w:val="auto"/>
        </w:rPr>
      </w:pPr>
      <w:r>
        <w:rPr>
          <w:rFonts w:ascii="Times New Roman" w:cs="Times New Roman" w:eastAsia="Times New Roman" w:hAnsi="Times New Roman"/>
          <w:sz w:val="17"/>
          <w:szCs w:val="17"/>
          <w:color w:val="auto"/>
        </w:rPr>
        <w:t>14 North Main Street</w:t>
      </w:r>
    </w:p>
    <w:p>
      <w:pPr>
        <w:ind w:left="460"/>
        <w:spacing w:after="0" w:line="208" w:lineRule="auto"/>
        <w:rPr>
          <w:sz w:val="20"/>
          <w:szCs w:val="20"/>
          <w:color w:val="auto"/>
        </w:rPr>
      </w:pPr>
      <w:r>
        <w:rPr>
          <w:rFonts w:ascii="Times New Roman" w:cs="Times New Roman" w:eastAsia="Times New Roman" w:hAnsi="Times New Roman"/>
          <w:sz w:val="17"/>
          <w:szCs w:val="17"/>
          <w:color w:val="auto"/>
        </w:rPr>
        <w:t>Souderton, PA 18964</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Attn: Robert M. Castro</w:t>
      </w:r>
    </w:p>
    <w:p>
      <w:pPr>
        <w:spacing w:after="0" w:line="151" w:lineRule="exact"/>
        <w:rPr>
          <w:sz w:val="20"/>
          <w:szCs w:val="20"/>
          <w:color w:val="auto"/>
        </w:rPr>
      </w:pPr>
    </w:p>
    <w:p>
      <w:pPr>
        <w:sectPr>
          <w:pgSz w:w="11900" w:h="16838" w:orient="portrait"/>
          <w:cols w:equalWidth="0" w:num="2">
            <w:col w:w="1760" w:space="340"/>
            <w:col w:w="9180"/>
          </w:cols>
          <w:pgMar w:left="300" w:top="1127" w:right="319" w:bottom="1440" w:gutter="0" w:footer="0" w:header="0"/>
          <w:type w:val="continuous"/>
        </w:sectPr>
      </w:pPr>
    </w:p>
    <w:p>
      <w:pPr>
        <w:ind w:left="1020"/>
        <w:spacing w:after="0"/>
        <w:tabs>
          <w:tab w:leader="none" w:pos="2340" w:val="left"/>
        </w:tabs>
        <w:rPr>
          <w:sz w:val="20"/>
          <w:szCs w:val="20"/>
          <w:color w:val="auto"/>
        </w:rPr>
      </w:pPr>
      <w:r>
        <w:rPr>
          <w:rFonts w:ascii="Times New Roman" w:cs="Times New Roman" w:eastAsia="Times New Roman" w:hAnsi="Times New Roman"/>
          <w:sz w:val="17"/>
          <w:szCs w:val="17"/>
          <w:color w:val="auto"/>
        </w:rPr>
        <w:t>If to Landlord:</w:t>
      </w:r>
      <w:r>
        <w:rPr>
          <w:sz w:val="20"/>
          <w:szCs w:val="20"/>
          <w:color w:val="auto"/>
        </w:rPr>
        <w:tab/>
      </w:r>
      <w:r>
        <w:rPr>
          <w:rFonts w:ascii="Times New Roman" w:cs="Times New Roman" w:eastAsia="Times New Roman" w:hAnsi="Times New Roman"/>
          <w:sz w:val="16"/>
          <w:szCs w:val="16"/>
          <w:color w:val="auto"/>
        </w:rPr>
        <w:t>Veterans Circle Group, LLC</w:t>
      </w:r>
    </w:p>
    <w:p>
      <w:pPr>
        <w:ind w:left="1540"/>
        <w:spacing w:after="0" w:line="208" w:lineRule="auto"/>
        <w:rPr>
          <w:sz w:val="20"/>
          <w:szCs w:val="20"/>
          <w:color w:val="auto"/>
        </w:rPr>
      </w:pPr>
      <w:r>
        <w:rPr>
          <w:rFonts w:ascii="Times New Roman" w:cs="Times New Roman" w:eastAsia="Times New Roman" w:hAnsi="Times New Roman"/>
          <w:sz w:val="17"/>
          <w:szCs w:val="17"/>
          <w:color w:val="auto"/>
        </w:rPr>
        <w:t>5110 Campus Drive, Suite 110</w:t>
      </w:r>
    </w:p>
    <w:p>
      <w:pPr>
        <w:ind w:left="1540"/>
        <w:spacing w:after="0" w:line="208" w:lineRule="auto"/>
        <w:rPr>
          <w:sz w:val="20"/>
          <w:szCs w:val="20"/>
          <w:color w:val="auto"/>
        </w:rPr>
      </w:pPr>
      <w:r>
        <w:rPr>
          <w:rFonts w:ascii="Times New Roman" w:cs="Times New Roman" w:eastAsia="Times New Roman" w:hAnsi="Times New Roman"/>
          <w:sz w:val="17"/>
          <w:szCs w:val="17"/>
          <w:color w:val="auto"/>
        </w:rPr>
        <w:t>Plymouth Meeting, PA 19462</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Attn: Christopher R. DiPaolo</w:t>
      </w:r>
    </w:p>
    <w:p>
      <w:pPr>
        <w:spacing w:after="0" w:line="147" w:lineRule="exact"/>
        <w:rPr>
          <w:sz w:val="20"/>
          <w:szCs w:val="20"/>
          <w:color w:val="auto"/>
        </w:rPr>
      </w:pPr>
    </w:p>
    <w:p>
      <w:pPr>
        <w:ind w:left="1020"/>
        <w:spacing w:after="0"/>
        <w:tabs>
          <w:tab w:leader="none" w:pos="2180" w:val="left"/>
        </w:tabs>
        <w:rPr>
          <w:sz w:val="20"/>
          <w:szCs w:val="20"/>
          <w:color w:val="auto"/>
        </w:rPr>
      </w:pPr>
      <w:r>
        <w:rPr>
          <w:rFonts w:ascii="Times New Roman" w:cs="Times New Roman" w:eastAsia="Times New Roman" w:hAnsi="Times New Roman"/>
          <w:sz w:val="17"/>
          <w:szCs w:val="17"/>
          <w:color w:val="auto"/>
        </w:rPr>
        <w:t>If to Tenant:</w:t>
      </w:r>
      <w:r>
        <w:rPr>
          <w:sz w:val="20"/>
          <w:szCs w:val="20"/>
          <w:color w:val="auto"/>
        </w:rPr>
        <w:tab/>
      </w:r>
      <w:r>
        <w:rPr>
          <w:rFonts w:ascii="Times New Roman" w:cs="Times New Roman" w:eastAsia="Times New Roman" w:hAnsi="Times New Roman"/>
          <w:sz w:val="16"/>
          <w:szCs w:val="16"/>
          <w:color w:val="auto"/>
        </w:rPr>
        <w:t>Arbutus Biopharma, Inc.</w:t>
      </w:r>
    </w:p>
    <w:p>
      <w:pPr>
        <w:sectPr>
          <w:pgSz w:w="11900" w:h="16838" w:orient="portrait"/>
          <w:cols w:equalWidth="0" w:num="1">
            <w:col w:w="11280"/>
          </w:cols>
          <w:pgMar w:left="300" w:top="1127" w:right="319" w:bottom="1440" w:gutter="0" w:footer="0" w:header="0"/>
          <w:type w:val="continuous"/>
        </w:sectPr>
      </w:pPr>
    </w:p>
    <w:p>
      <w:pPr>
        <w:ind w:left="1540"/>
        <w:spacing w:after="0" w:line="237" w:lineRule="auto"/>
        <w:rPr>
          <w:sz w:val="20"/>
          <w:szCs w:val="20"/>
          <w:color w:val="auto"/>
        </w:rPr>
      </w:pPr>
      <w:r>
        <w:rPr>
          <w:rFonts w:ascii="Times New Roman" w:cs="Times New Roman" w:eastAsia="Times New Roman" w:hAnsi="Times New Roman"/>
          <w:sz w:val="17"/>
          <w:szCs w:val="17"/>
          <w:color w:val="auto"/>
        </w:rPr>
        <w:t>701 Veterans Circle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- 4 -</w:t>
      </w:r>
    </w:p>
    <w:p>
      <w:pPr>
        <w:sectPr>
          <w:pgSz w:w="11900" w:h="16838" w:orient="portrait"/>
          <w:cols w:equalWidth="0" w:num="1">
            <w:col w:w="11280"/>
          </w:cols>
          <w:pgMar w:left="300" w:top="1127" w:right="319" w:bottom="1440" w:gutter="0" w:footer="0" w:header="0"/>
          <w:type w:val="continuous"/>
        </w:sectPr>
      </w:pPr>
    </w:p>
    <w:bookmarkStart w:id="124" w:name="page125"/>
    <w:bookmarkEnd w:id="124"/>
    <w:p>
      <w:pPr>
        <w:ind w:left="1520"/>
        <w:spacing w:after="0"/>
        <w:rPr>
          <w:sz w:val="20"/>
          <w:szCs w:val="20"/>
          <w:color w:val="auto"/>
        </w:rPr>
      </w:pPr>
      <w:r>
        <w:rPr>
          <w:rFonts w:ascii="Times New Roman" w:cs="Times New Roman" w:eastAsia="Times New Roman" w:hAnsi="Times New Roman"/>
          <w:sz w:val="17"/>
          <w:szCs w:val="17"/>
          <w:color w:val="auto"/>
        </w:rPr>
        <w:t>Warminster, PA 18974-3531</w:t>
      </w:r>
    </w:p>
    <w:p>
      <w:pPr>
        <w:ind w:left="256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47" w:lineRule="exact"/>
        <w:rPr>
          <w:sz w:val="20"/>
          <w:szCs w:val="20"/>
          <w:color w:val="auto"/>
        </w:rPr>
      </w:pPr>
    </w:p>
    <w:p>
      <w:pPr>
        <w:ind w:left="560" w:hanging="385"/>
        <w:spacing w:after="0"/>
        <w:tabs>
          <w:tab w:leader="none" w:pos="5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shall inure to the benefit of the parties hereto, and their respective successors and assigns.</w:t>
      </w:r>
    </w:p>
    <w:p>
      <w:pPr>
        <w:spacing w:after="0" w:line="165" w:lineRule="exact"/>
        <w:rPr>
          <w:rFonts w:ascii="Times New Roman" w:cs="Times New Roman" w:eastAsia="Times New Roman" w:hAnsi="Times New Roman"/>
          <w:sz w:val="17"/>
          <w:szCs w:val="17"/>
          <w:color w:val="auto"/>
        </w:rPr>
      </w:pPr>
    </w:p>
    <w:p>
      <w:pPr>
        <w:ind w:firstLine="212"/>
        <w:spacing w:after="0" w:line="238" w:lineRule="auto"/>
        <w:tabs>
          <w:tab w:leader="none" w:pos="626"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Recording</w:t>
      </w:r>
      <w:r>
        <w:rPr>
          <w:rFonts w:ascii="Times New Roman" w:cs="Times New Roman" w:eastAsia="Times New Roman" w:hAnsi="Times New Roman"/>
          <w:sz w:val="17"/>
          <w:szCs w:val="17"/>
          <w:color w:val="auto"/>
        </w:rPr>
        <w:t>. This Agreement is subject to the laws of the Commonwealth of Pennsylvania without regard to principles of conflict of laws. The parties hereto agree that this Agreement may be recorded in the public records of any county in which the Property is located.</w:t>
      </w:r>
    </w:p>
    <w:p>
      <w:pPr>
        <w:spacing w:after="0" w:line="142" w:lineRule="exact"/>
        <w:rPr>
          <w:rFonts w:ascii="Times New Roman" w:cs="Times New Roman" w:eastAsia="Times New Roman" w:hAnsi="Times New Roman"/>
          <w:sz w:val="17"/>
          <w:szCs w:val="17"/>
          <w:color w:val="auto"/>
        </w:rPr>
      </w:pPr>
    </w:p>
    <w:p>
      <w:pPr>
        <w:ind w:firstLine="238"/>
        <w:spacing w:after="0" w:line="238" w:lineRule="auto"/>
        <w:tabs>
          <w:tab w:leader="none" w:pos="679"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and by each of the undersigned on separate counterparts, and each such counterpart shall be deemed to be an original, but all such counterparts shall together constitute but one and the same Agreement.</w:t>
      </w:r>
    </w:p>
    <w:p>
      <w:pPr>
        <w:spacing w:after="0" w:line="138"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9" w:val="left"/>
        </w:tabs>
        <w:numPr>
          <w:ilvl w:val="3"/>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WAIVER OF TRIAL BY JURY</w:t>
      </w:r>
      <w:r>
        <w:rPr>
          <w:rFonts w:ascii="Times New Roman" w:cs="Times New Roman" w:eastAsia="Times New Roman" w:hAnsi="Times New Roman"/>
          <w:sz w:val="17"/>
          <w:szCs w:val="17"/>
          <w:b w:val="1"/>
          <w:bCs w:val="1"/>
          <w:color w:val="auto"/>
        </w:rPr>
        <w:t>. EACH PARTY KNOWINGLY, VOLUNTARILY, INTENTIONALLY AND IRREVOCABLY WAIVES EACH RIGHT IT MAY HAVE TO A TRIAL BY JURY WITH RESPECT TO, AND IN, ANY ACTION OR OTHER LEGAL PROCEEDING, OF ANY NATURE RELATING TO THIS AGREEMENT, ANY TRANSACTION CONTEMPLATED HEREIN OR ANY NEGOTIATION, ADMINISTRATION, PERFORMANCE OR ENFORCEMENT OF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ectPr>
          <w:pgSz w:w="11900" w:h="16838" w:orient="portrait"/>
          <w:cols w:equalWidth="0" w:num="1">
            <w:col w:w="11280"/>
          </w:cols>
          <w:pgMar w:left="300" w:top="1119"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Agreement to be signed by their duly authorized officers as of the date set forth above.</w:t>
      </w:r>
    </w:p>
    <w:p>
      <w:pPr>
        <w:sectPr>
          <w:pgSz w:w="11900" w:h="16838" w:orient="portrait"/>
          <w:cols w:equalWidth="0" w:num="1">
            <w:col w:w="10260"/>
          </w:cols>
          <w:pgMar w:left="820" w:top="1123" w:right="819" w:bottom="1440" w:gutter="0" w:footer="0" w:header="0"/>
        </w:sectPr>
      </w:pP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u w:val="single" w:color="auto"/>
          <w:color w:val="auto"/>
        </w:rPr>
        <w:t>BANK</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UNIVEST BANK AND TRUST CO.</w:t>
      </w:r>
    </w:p>
    <w:p>
      <w:pPr>
        <w:spacing w:after="0" w:line="353"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Robert M. Castro</w:t>
      </w:r>
    </w:p>
    <w:p>
      <w:pPr>
        <w:ind w:left="340"/>
        <w:spacing w:after="0" w:line="221" w:lineRule="auto"/>
        <w:tabs>
          <w:tab w:leader="none" w:pos="9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Robert M. Castro</w:t>
      </w:r>
    </w:p>
    <w:p>
      <w:pPr>
        <w:ind w:left="340"/>
        <w:spacing w:after="0"/>
        <w:tabs>
          <w:tab w:leader="none" w:pos="8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Senior Vice President</w:t>
      </w: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Subordination, Non-Disturbance and Attornment Agreement]</w:t>
      </w:r>
    </w:p>
    <w:p>
      <w:pPr>
        <w:sectPr>
          <w:pgSz w:w="11900" w:h="16838" w:orient="portrait"/>
          <w:cols w:equalWidth="0" w:num="1">
            <w:col w:w="10260"/>
          </w:cols>
          <w:pgMar w:left="820" w:top="1123" w:right="819" w:bottom="1440" w:gutter="0" w:footer="0" w:header="0"/>
          <w:type w:val="continuous"/>
        </w:sectPr>
      </w:pPr>
    </w:p>
    <w:bookmarkStart w:id="126" w:name="page127"/>
    <w:bookmarkEnd w:id="126"/>
    <w:p>
      <w:pPr>
        <w:ind w:left="1420"/>
        <w:spacing w:after="0"/>
        <w:rPr>
          <w:sz w:val="20"/>
          <w:szCs w:val="20"/>
          <w:color w:val="auto"/>
        </w:rPr>
      </w:pPr>
      <w:r>
        <w:rPr>
          <w:rFonts w:ascii="Times New Roman" w:cs="Times New Roman" w:eastAsia="Times New Roman" w:hAnsi="Times New Roman"/>
          <w:sz w:val="17"/>
          <w:szCs w:val="17"/>
          <w:b w:val="1"/>
          <w:bCs w:val="1"/>
          <w:u w:val="single" w:color="auto"/>
          <w:color w:val="auto"/>
        </w:rPr>
        <w:t>LANDLORD</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VETERANS CIRCLE GROUP, LLC</w:t>
      </w:r>
    </w:p>
    <w:p>
      <w:pPr>
        <w:spacing w:after="0" w:line="3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By: /s/ Christipher R.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-4445</wp:posOffset>
            </wp:positionV>
            <wp:extent cx="122745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1227455" cy="6985"/>
                    </a:xfrm>
                    <a:prstGeom prst="rect">
                      <a:avLst/>
                    </a:prstGeom>
                    <a:noFill/>
                  </pic:spPr>
                </pic:pic>
              </a:graphicData>
            </a:graphic>
          </wp:anchor>
        </w:drawing>
      </w:r>
    </w:p>
    <w:p>
      <w:pPr>
        <w:ind w:left="1420"/>
        <w:spacing w:after="0" w:line="221" w:lineRule="auto"/>
        <w:tabs>
          <w:tab w:leader="none" w:pos="20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Christopher R. DiPaolo</w:t>
      </w:r>
    </w:p>
    <w:p>
      <w:pPr>
        <w:ind w:left="1420"/>
        <w:spacing w:after="0"/>
        <w:tabs>
          <w:tab w:leader="none" w:pos="1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Subordination, Non-Disturbance and Attornment Agreement]</w:t>
      </w:r>
    </w:p>
    <w:p>
      <w:pPr>
        <w:sectPr>
          <w:pgSz w:w="11900" w:h="16838" w:orient="portrait"/>
          <w:cols w:equalWidth="0" w:num="1">
            <w:col w:w="9019"/>
          </w:cols>
          <w:pgMar w:left="1440" w:top="1122" w:right="1440" w:bottom="1440" w:gutter="0" w:footer="0" w:header="0"/>
        </w:sectPr>
      </w:pPr>
    </w:p>
    <w:bookmarkStart w:id="127" w:name="page128"/>
    <w:bookmarkEnd w:id="127"/>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u w:val="single" w:color="auto"/>
          <w:color w:val="auto"/>
        </w:rPr>
        <w:t>TENANT</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ARBUTUS BIOPHARMA, INC.</w:t>
      </w:r>
    </w:p>
    <w:p>
      <w:pPr>
        <w:spacing w:after="0" w:line="3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J. Christopher Naftzger</w:t>
      </w:r>
    </w:p>
    <w:p>
      <w:pPr>
        <w:spacing w:after="0" w:line="221" w:lineRule="auto"/>
        <w:tabs>
          <w:tab w:leader="none" w:pos="6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 Christopher Naftzger</w:t>
      </w: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General Counsel &amp; CCO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4"/>
          <w:szCs w:val="14"/>
          <w:color w:val="auto"/>
        </w:rPr>
        <w:t>[Signature Page to Subordination, Non-Disturbance and Attornment Agreement]</w:t>
      </w:r>
    </w:p>
    <w:p>
      <w:pPr>
        <w:sectPr>
          <w:pgSz w:w="11900" w:h="16838" w:orient="portrait"/>
          <w:cols w:equalWidth="0" w:num="1">
            <w:col w:w="9299"/>
          </w:cols>
          <w:pgMar w:left="1160" w:top="1440"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DESCRIPTION OF THE PROPERTY</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All that certain lot, parcel, tract of land lying and being situate in the Township of Warminster, County of Bucks and Commonwealth of Pennsylvania, bounded and described as follows:</w:t>
      </w:r>
    </w:p>
    <w:p>
      <w:pPr>
        <w:spacing w:after="0" w:line="12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Beginning at a concrete monument to be set by others along the Eastern most right of way of Veterans Circle being the corner of Lot 8 (erroneously referred to as Lot 2 in prior chain deeds) and being the point of beginning; thence along Lot 8 (erroneously referred to as Lot 2 in prior chain deeds) South 52° 55’ 39” East a distance of 441.48 feet to a concrete monument to be set by others along Lot 3; thence along Lot 3 South 37° 04’ 21” West a distance of 300.00 feet to a concrete monument to be set by others along Lot 6; thence along Lot 6 North 52° 55’ 39” West distance of 469.49 feet to a concrete monument to be set by others along the right of way Veterans Circle; thence along the right of way of Veterans Circle North 37° 04’ 21” East a distance of 237.38 feet to a concrete monument to be set by others; thence continuing along the right of way along a curve to the right having a radius of 25.00 feet an arc length of 20.89 feet an included angle of 47° 53’ 15” and a chord bearing and distance of North 61° 00’ 59” East 20.29 feet to a concrete monument to be set by others; thence continuing along the right of way along a curve to the left having a radius of 60.00 feet an arc length of 49.71 feet an included angle of 47° 28’ 13” and a chord bearing and distance of North 61° 13’ 29” East 48.30 feet to a concrete monument to be set by others being the point of beginning.</w:t>
      </w:r>
    </w:p>
    <w:p>
      <w:pPr>
        <w:spacing w:after="0" w:line="12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above described Lot being as shown as Lot #7 on the plan entitled "Amended Final Subdivision Plan Franklin Corporate Center" as prepared by Liberty Engineering, Inc., latest revision dated 8/3/2004 and recorded at the Recorder of Deeds Office in and for the County of Bucks, Pennsylvania on August 9, 2004 in Plan Book 319, page 37.</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The above is also shown as Lot #7 on Site Layout Plan recorded at the Recorder of Deeds Office in and for the County of Bucks, Pennsylvania on December 23, 2005 in Plan Book 335, page 30.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Being designated as Tax Parcel No. 49-009-528.</w:t>
      </w:r>
    </w:p>
    <w:p>
      <w:pPr>
        <w:sectPr>
          <w:pgSz w:w="11900" w:h="16838" w:orient="portrait"/>
          <w:cols w:equalWidth="0" w:num="1">
            <w:col w:w="11280"/>
          </w:cols>
          <w:pgMar w:left="300" w:top="1123" w:right="319" w:bottom="1440"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2"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4960" w:type="dxa"/>
            <w:vAlign w:val="bottom"/>
            <w:gridSpan w:val="5"/>
          </w:tcPr>
          <w:p>
            <w:pPr>
              <w:jc w:val="center"/>
              <w:ind w:right="2889"/>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r>
      <w:tr>
        <w:trPr>
          <w:trHeight w:val="320"/>
        </w:trPr>
        <w:tc>
          <w:tcPr>
            <w:tcW w:w="2920" w:type="dxa"/>
            <w:vAlign w:val="bottom"/>
          </w:tcPr>
          <w:p>
            <w:pPr>
              <w:spacing w:after="0"/>
              <w:rPr>
                <w:sz w:val="24"/>
                <w:szCs w:val="24"/>
                <w:color w:val="auto"/>
              </w:rPr>
            </w:pPr>
          </w:p>
        </w:tc>
        <w:tc>
          <w:tcPr>
            <w:tcW w:w="2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2960" w:type="dxa"/>
            <w:vAlign w:val="bottom"/>
          </w:tcPr>
          <w:p>
            <w:pPr>
              <w:spacing w:after="0"/>
              <w:rPr>
                <w:sz w:val="24"/>
                <w:szCs w:val="24"/>
                <w:color w:val="auto"/>
              </w:rPr>
            </w:pPr>
          </w:p>
        </w:tc>
      </w:tr>
      <w:tr>
        <w:trPr>
          <w:trHeight w:val="309"/>
        </w:trPr>
        <w:tc>
          <w:tcPr>
            <w:tcW w:w="29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600" w:type="dxa"/>
            <w:vAlign w:val="bottom"/>
            <w:tcBorders>
              <w:top w:val="single" w:sz="8" w:color="auto"/>
              <w:bottom w:val="single" w:sz="8" w:color="00000A"/>
            </w:tcBorders>
          </w:tcPr>
          <w:p>
            <w:pPr>
              <w:spacing w:after="0"/>
              <w:rPr>
                <w:sz w:val="24"/>
                <w:szCs w:val="24"/>
                <w:color w:val="auto"/>
              </w:rPr>
            </w:pPr>
          </w:p>
        </w:tc>
        <w:tc>
          <w:tcPr>
            <w:tcW w:w="560" w:type="dxa"/>
            <w:vAlign w:val="bottom"/>
            <w:tcBorders>
              <w:top w:val="single" w:sz="8" w:color="auto"/>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tcBorders>
          </w:tcPr>
          <w:p>
            <w:pPr>
              <w:spacing w:after="0"/>
              <w:rPr>
                <w:sz w:val="24"/>
                <w:szCs w:val="24"/>
                <w:color w:val="auto"/>
              </w:rPr>
            </w:pPr>
          </w:p>
        </w:tc>
      </w:tr>
      <w:tr>
        <w:trPr>
          <w:trHeight w:val="171"/>
        </w:trPr>
        <w:tc>
          <w:tcPr>
            <w:tcW w:w="2920" w:type="dxa"/>
            <w:vAlign w:val="bottom"/>
            <w:tcBorders>
              <w:left w:val="single" w:sz="8" w:color="00000A"/>
              <w:bottom w:val="single" w:sz="8" w:color="00000A"/>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Borders>
              <w:bottom w:val="single" w:sz="8" w:color="00000A"/>
            </w:tcBorders>
          </w:tcPr>
          <w:p>
            <w:pPr>
              <w:spacing w:after="0"/>
              <w:rPr>
                <w:sz w:val="14"/>
                <w:szCs w:val="14"/>
                <w:color w:val="auto"/>
              </w:rPr>
            </w:pPr>
          </w:p>
        </w:tc>
        <w:tc>
          <w:tcPr>
            <w:tcW w:w="600" w:type="dxa"/>
            <w:vAlign w:val="bottom"/>
            <w:tcBorders>
              <w:bottom w:val="single" w:sz="8" w:color="00000A"/>
              <w:right w:val="single" w:sz="8" w:color="00000A"/>
            </w:tcBorders>
          </w:tcPr>
          <w:p>
            <w:pPr>
              <w:spacing w:after="0"/>
              <w:rPr>
                <w:sz w:val="14"/>
                <w:szCs w:val="14"/>
                <w:color w:val="auto"/>
              </w:rPr>
            </w:pPr>
          </w:p>
        </w:tc>
        <w:tc>
          <w:tcPr>
            <w:tcW w:w="560" w:type="dxa"/>
            <w:vAlign w:val="bottom"/>
            <w:tcBorders>
              <w:bottom w:val="single" w:sz="8" w:color="00000A"/>
            </w:tcBorders>
          </w:tcPr>
          <w:p>
            <w:pPr>
              <w:spacing w:after="0"/>
              <w:rPr>
                <w:sz w:val="14"/>
                <w:szCs w:val="14"/>
                <w:color w:val="auto"/>
              </w:rPr>
            </w:pPr>
          </w:p>
        </w:tc>
        <w:tc>
          <w:tcPr>
            <w:tcW w:w="420" w:type="dxa"/>
            <w:vAlign w:val="bottom"/>
            <w:tcBorders>
              <w:bottom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71"/>
        </w:trPr>
        <w:tc>
          <w:tcPr>
            <w:tcW w:w="2920" w:type="dxa"/>
            <w:vAlign w:val="bottom"/>
            <w:tcBorders>
              <w:left w:val="single" w:sz="8" w:color="00000A"/>
              <w:bottom w:val="single" w:sz="8" w:color="00000A"/>
            </w:tcBorders>
          </w:tcPr>
          <w:p>
            <w:pPr>
              <w:ind w:left="20"/>
              <w:spacing w:after="0"/>
              <w:rPr>
                <w:sz w:val="20"/>
                <w:szCs w:val="20"/>
                <w:color w:val="auto"/>
              </w:rPr>
            </w:pPr>
            <w:r>
              <w:rPr>
                <w:rFonts w:ascii="Times New Roman" w:cs="Times New Roman" w:eastAsia="Times New Roman" w:hAnsi="Times New Roman"/>
                <w:sz w:val="14"/>
                <w:szCs w:val="14"/>
                <w:color w:val="auto"/>
              </w:rPr>
              <w:t>Arbutus Biopharma Inc.</w:t>
            </w:r>
          </w:p>
        </w:tc>
        <w:tc>
          <w:tcPr>
            <w:tcW w:w="420" w:type="dxa"/>
            <w:vAlign w:val="bottom"/>
            <w:tcBorders>
              <w:bottom w:val="single" w:sz="8" w:color="00000A"/>
            </w:tcBorders>
          </w:tcPr>
          <w:p>
            <w:pPr>
              <w:spacing w:after="0"/>
              <w:rPr>
                <w:sz w:val="14"/>
                <w:szCs w:val="14"/>
                <w:color w:val="auto"/>
              </w:rPr>
            </w:pPr>
          </w:p>
        </w:tc>
        <w:tc>
          <w:tcPr>
            <w:tcW w:w="600" w:type="dxa"/>
            <w:vAlign w:val="bottom"/>
            <w:tcBorders>
              <w:bottom w:val="single" w:sz="8" w:color="00000A"/>
              <w:right w:val="single" w:sz="8" w:color="00000A"/>
            </w:tcBorders>
          </w:tcPr>
          <w:p>
            <w:pPr>
              <w:spacing w:after="0"/>
              <w:rPr>
                <w:sz w:val="14"/>
                <w:szCs w:val="14"/>
                <w:color w:val="auto"/>
              </w:rPr>
            </w:pPr>
          </w:p>
        </w:tc>
        <w:tc>
          <w:tcPr>
            <w:tcW w:w="3940" w:type="dxa"/>
            <w:vAlign w:val="bottom"/>
            <w:tcBorders>
              <w:bottom w:val="single" w:sz="8" w:color="00000A"/>
              <w:right w:val="single" w:sz="8" w:color="00000A"/>
            </w:tcBorders>
            <w:gridSpan w:val="3"/>
          </w:tcPr>
          <w:p>
            <w:pPr>
              <w:spacing w:after="0"/>
              <w:rPr>
                <w:sz w:val="20"/>
                <w:szCs w:val="20"/>
                <w:color w:val="auto"/>
              </w:rPr>
            </w:pPr>
            <w:r>
              <w:rPr>
                <w:rFonts w:ascii="Times New Roman" w:cs="Times New Roman" w:eastAsia="Times New Roman" w:hAnsi="Times New Roman"/>
                <w:sz w:val="14"/>
                <w:szCs w:val="14"/>
                <w:color w:val="auto"/>
              </w:rPr>
              <w:t>Delaware, United States of America</w:t>
            </w:r>
          </w:p>
        </w:tc>
      </w:tr>
    </w:tbl>
    <w:p>
      <w:pPr>
        <w:sectPr>
          <w:pgSz w:w="11900" w:h="16838" w:orient="portrait"/>
          <w:cols w:equalWidth="0" w:num="1">
            <w:col w:w="10100"/>
          </w:cols>
          <w:pgMar w:left="1440" w:top="377" w:right="35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20" w:hanging="260"/>
        <w:spacing w:after="0" w:line="238" w:lineRule="auto"/>
        <w:tabs>
          <w:tab w:leader="none" w:pos="512"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S-3 No. 333-283038) pertaining to the offering, issuance and sale of up to $300,000,000 of common shares, preferred shares, warrants, debt securities and units of Arbutus Biopharma Corporation,</w:t>
      </w:r>
    </w:p>
    <w:p>
      <w:pPr>
        <w:spacing w:after="0" w:line="188"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333-281378)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12"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333-273647) pertaining to the Arbutus Biopharma Corporation 2016 Omnibus Share and Incentive Plan and the Individual Nonqualified Stock Option Award (Inducement Grant) of Arbutus Biopharma Corporation,</w:t>
      </w:r>
    </w:p>
    <w:p>
      <w:pPr>
        <w:spacing w:after="0" w:line="188"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333-266527)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12"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S-3 No. 333-260782) pertaining to the offering, issuance and sale of up to (a) $250,000,000 of common shares, preferred shares, warrants, debt securities and units of Arbutus Biopharma Corporation and (b) 38,847,462 common shares offered by the selling shareholder named therein,</w:t>
      </w:r>
    </w:p>
    <w:p>
      <w:pPr>
        <w:spacing w:after="0" w:line="188"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333-258494)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12"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333-239407) pertaining to the Arbutus Biopharma Corporation 2016 Omnibus Share and Incentive Plan and the Arbutus Biopharma Corporation 2020 Employee Stock Purchase Plan,</w:t>
      </w:r>
    </w:p>
    <w:p>
      <w:pPr>
        <w:spacing w:after="0" w:line="177"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333-233192) pertaining to the Inducement Stock Option Award of Arbutus Biopharma Corporation,</w:t>
      </w:r>
    </w:p>
    <w:p>
      <w:pPr>
        <w:spacing w:after="0" w:line="187"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333-228919) pertaining to the Arbutus Biopharma Corporation 2011 Omnibus Share Compensation Plan,</w:t>
      </w:r>
    </w:p>
    <w:p>
      <w:pPr>
        <w:spacing w:after="0" w:line="187" w:lineRule="exact"/>
        <w:rPr>
          <w:rFonts w:ascii="Arial" w:cs="Arial" w:eastAsia="Arial" w:hAnsi="Arial"/>
          <w:sz w:val="16"/>
          <w:szCs w:val="16"/>
          <w:color w:val="auto"/>
        </w:rPr>
      </w:pPr>
    </w:p>
    <w:p>
      <w:pPr>
        <w:ind w:left="500" w:hanging="240"/>
        <w:spacing w:after="0"/>
        <w:tabs>
          <w:tab w:leader="none" w:pos="500"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333-212115) pertaining to the Arbutus Biopharma Corporation 2016 Omnibus Share and Incentive Plan, and</w:t>
      </w:r>
    </w:p>
    <w:p>
      <w:pPr>
        <w:spacing w:after="0" w:line="187" w:lineRule="exact"/>
        <w:rPr>
          <w:rFonts w:ascii="Arial" w:cs="Arial" w:eastAsia="Arial" w:hAnsi="Arial"/>
          <w:sz w:val="16"/>
          <w:szCs w:val="16"/>
          <w:color w:val="auto"/>
        </w:rPr>
      </w:pPr>
    </w:p>
    <w:p>
      <w:pPr>
        <w:ind w:left="520" w:hanging="260"/>
        <w:spacing w:after="0" w:line="238" w:lineRule="auto"/>
        <w:tabs>
          <w:tab w:leader="none" w:pos="502" w:val="left"/>
        </w:tabs>
        <w:numPr>
          <w:ilvl w:val="0"/>
          <w:numId w:val="6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333-186185) pertaining to the Tekmira 2011 Omnibus Share Compensation Plan, the Tekmira Share Option Plan and the Protiva 2000 Incentive Stock Option Plan,</w:t>
      </w:r>
    </w:p>
    <w:p>
      <w:pPr>
        <w:spacing w:after="0" w:line="3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of our report dated March 27, 2025, with respect to the consolidated financial statements of Arbutus Biopharma Corporation included in this Annual Report (Form 10-K) of Arbutus Biopharma Corporation for the year ended December 31,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ectPr>
          <w:pgSz w:w="11900" w:h="16838" w:orient="portrait"/>
          <w:cols w:equalWidth="0" w:num="1">
            <w:col w:w="11280"/>
          </w:cols>
          <w:pgMar w:left="300" w:top="123"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27, 2025</w:t>
      </w:r>
    </w:p>
    <w:p>
      <w:pPr>
        <w:sectPr>
          <w:pgSz w:w="11900" w:h="16838" w:orient="portrait"/>
          <w:cols w:equalWidth="0" w:num="1">
            <w:col w:w="11280"/>
          </w:cols>
          <w:pgMar w:left="300" w:top="123"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CERTIFICATION PURSUANT TO RULE 13a-14 AND 15d-14 OF THE SECURITIES</w:t>
      </w:r>
    </w:p>
    <w:p>
      <w:pPr>
        <w:spacing w:after="0" w:line="7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EXCHANGE ACT OF 1934, AS ADOPTED PURSUANT TO SECTION 302 OF THE</w:t>
      </w:r>
    </w:p>
    <w:p>
      <w:pPr>
        <w:spacing w:after="0" w:line="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Lindsay Androski, Chief Executive Officer of Arbutus Biopharma Corporation, certify that:</w:t>
      </w:r>
    </w:p>
    <w:p>
      <w:pPr>
        <w:spacing w:after="0" w:line="179" w:lineRule="exact"/>
        <w:rPr>
          <w:sz w:val="20"/>
          <w:szCs w:val="20"/>
          <w:color w:val="auto"/>
        </w:rPr>
      </w:pPr>
    </w:p>
    <w:p>
      <w:pPr>
        <w:ind w:left="700" w:hanging="250"/>
        <w:spacing w:after="0"/>
        <w:tabs>
          <w:tab w:leader="none" w:pos="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Arbutus Biopharma Corporation;</w:t>
      </w:r>
    </w:p>
    <w:p>
      <w:pPr>
        <w:spacing w:after="0" w:line="72" w:lineRule="exact"/>
        <w:rPr>
          <w:rFonts w:ascii="Times New Roman" w:cs="Times New Roman" w:eastAsia="Times New Roman" w:hAnsi="Times New Roman"/>
          <w:sz w:val="14"/>
          <w:szCs w:val="14"/>
          <w:color w:val="auto"/>
        </w:rPr>
      </w:pPr>
    </w:p>
    <w:p>
      <w:pPr>
        <w:ind w:left="700" w:right="540" w:hanging="250"/>
        <w:spacing w:after="0" w:line="287" w:lineRule="auto"/>
        <w:tabs>
          <w:tab w:leader="none" w:pos="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700" w:hanging="250"/>
        <w:spacing w:after="0" w:line="287" w:lineRule="auto"/>
        <w:tabs>
          <w:tab w:leader="none" w:pos="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00" w:right="200" w:hanging="250"/>
        <w:spacing w:after="0" w:line="287" w:lineRule="auto"/>
        <w:tabs>
          <w:tab w:leader="none" w:pos="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jc w:val="both"/>
        <w:ind w:left="960" w:right="420" w:hanging="255"/>
        <w:spacing w:after="0" w:line="270" w:lineRule="auto"/>
        <w:tabs>
          <w:tab w:leader="none" w:pos="958"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ind w:left="960" w:right="60" w:hanging="255"/>
        <w:spacing w:after="0" w:line="287" w:lineRule="auto"/>
        <w:tabs>
          <w:tab w:leader="none" w:pos="955"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58"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55"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700" w:right="340" w:hanging="250"/>
        <w:spacing w:after="0" w:line="287" w:lineRule="auto"/>
        <w:tabs>
          <w:tab w:leader="none" w:pos="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960" w:right="580" w:hanging="255"/>
        <w:spacing w:after="0" w:line="287" w:lineRule="auto"/>
        <w:tabs>
          <w:tab w:leader="none" w:pos="958"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27, 2025</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Lindsay Androski</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CERTIFICATION PURSUANT TO RULE 13a-14 AND 15d-14 OF THE SECURITIES</w:t>
      </w:r>
    </w:p>
    <w:p>
      <w:pPr>
        <w:spacing w:after="0" w:line="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EXCHANGE ACT OF 1934, AS ADOPTED PURSUANT TO SECTION 302 OF THE</w:t>
      </w:r>
    </w:p>
    <w:p>
      <w:pPr>
        <w:spacing w:after="0" w:line="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C. Hastings, Chief Financial Officer of Arbutus Biopharma Corporation, certify that:</w:t>
      </w:r>
    </w:p>
    <w:p>
      <w:pPr>
        <w:spacing w:after="0" w:line="83" w:lineRule="exact"/>
        <w:rPr>
          <w:sz w:val="20"/>
          <w:szCs w:val="20"/>
          <w:color w:val="auto"/>
        </w:rPr>
      </w:pPr>
    </w:p>
    <w:p>
      <w:pPr>
        <w:ind w:left="700" w:hanging="250"/>
        <w:spacing w:after="0"/>
        <w:tabs>
          <w:tab w:leader="none" w:pos="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Arbutus Biopharma Corporation;</w:t>
      </w:r>
    </w:p>
    <w:p>
      <w:pPr>
        <w:spacing w:after="0" w:line="83" w:lineRule="exact"/>
        <w:rPr>
          <w:rFonts w:ascii="Times New Roman" w:cs="Times New Roman" w:eastAsia="Times New Roman" w:hAnsi="Times New Roman"/>
          <w:sz w:val="14"/>
          <w:szCs w:val="14"/>
          <w:color w:val="auto"/>
        </w:rPr>
      </w:pPr>
    </w:p>
    <w:p>
      <w:pPr>
        <w:ind w:left="700" w:right="540" w:hanging="250"/>
        <w:spacing w:after="0" w:line="287" w:lineRule="auto"/>
        <w:tabs>
          <w:tab w:leader="none" w:pos="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700" w:hanging="250"/>
        <w:spacing w:after="0" w:line="287" w:lineRule="auto"/>
        <w:tabs>
          <w:tab w:leader="none" w:pos="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00" w:right="200" w:hanging="250"/>
        <w:spacing w:after="0" w:line="287" w:lineRule="auto"/>
        <w:tabs>
          <w:tab w:leader="none" w:pos="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4"/>
          <w:szCs w:val="14"/>
          <w:color w:val="auto"/>
        </w:rPr>
      </w:pPr>
    </w:p>
    <w:p>
      <w:pPr>
        <w:jc w:val="both"/>
        <w:ind w:left="960" w:right="420" w:hanging="255"/>
        <w:spacing w:after="0" w:line="270" w:lineRule="auto"/>
        <w:tabs>
          <w:tab w:leader="none" w:pos="952"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Times New Roman" w:cs="Times New Roman" w:eastAsia="Times New Roman" w:hAnsi="Times New Roman"/>
          <w:sz w:val="14"/>
          <w:szCs w:val="14"/>
          <w:color w:val="auto"/>
        </w:rPr>
      </w:pPr>
    </w:p>
    <w:p>
      <w:pPr>
        <w:ind w:left="960" w:right="40" w:hanging="255"/>
        <w:spacing w:after="0" w:line="287" w:lineRule="auto"/>
        <w:tabs>
          <w:tab w:leader="none" w:pos="96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960" w:right="240" w:hanging="255"/>
        <w:spacing w:after="0" w:line="287" w:lineRule="auto"/>
        <w:tabs>
          <w:tab w:leader="none" w:pos="952"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6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700" w:right="340" w:hanging="250"/>
        <w:spacing w:after="0" w:line="287" w:lineRule="auto"/>
        <w:tabs>
          <w:tab w:leader="none" w:pos="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960" w:right="580" w:hanging="255"/>
        <w:spacing w:after="0" w:line="287" w:lineRule="auto"/>
        <w:tabs>
          <w:tab w:leader="none" w:pos="952"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27, 2025</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David C. Hastings</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3"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Arbutus Biopharma Corporation (the “Company”) on Form 10-K for the year ended December 31, 2024, as filed with the Securities and Exchange Commission on the date hereof (the “Report”), I Lindsay Androski, Chief Executive Officer of the Company, certify that to the best of my knowledge:</w:t>
      </w:r>
    </w:p>
    <w:p>
      <w:pPr>
        <w:spacing w:after="0" w:line="18" w:lineRule="exact"/>
        <w:rPr>
          <w:sz w:val="20"/>
          <w:szCs w:val="20"/>
          <w:color w:val="auto"/>
        </w:rPr>
      </w:pPr>
    </w:p>
    <w:p>
      <w:pPr>
        <w:ind w:left="960" w:hanging="255"/>
        <w:spacing w:after="0"/>
        <w:tabs>
          <w:tab w:leader="none" w:pos="9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27, 2025</w:t>
      </w:r>
    </w:p>
    <w:p>
      <w:pPr>
        <w:spacing w:after="0" w:line="1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Lindsay Androski</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Arbutus Biopharma Corporation (the “Company”) on Form 10-K for the year ended December 31, 2024, as filed with the Securities and Exchange Commission on the date hereof (the “Report”), I David C. Hastings, Chief Financial Officer of the Company, certify that to the best of my knowledge:</w:t>
      </w:r>
    </w:p>
    <w:p>
      <w:pPr>
        <w:spacing w:after="0" w:line="18" w:lineRule="exact"/>
        <w:rPr>
          <w:sz w:val="20"/>
          <w:szCs w:val="20"/>
          <w:color w:val="auto"/>
        </w:rPr>
      </w:pPr>
    </w:p>
    <w:p>
      <w:pPr>
        <w:ind w:left="960" w:hanging="255"/>
        <w:spacing w:after="0"/>
        <w:tabs>
          <w:tab w:leader="none" w:pos="9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27, 2025</w:t>
      </w:r>
    </w:p>
    <w:p>
      <w:pPr>
        <w:spacing w:after="0" w:line="1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David C. Hastings</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2"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Incentive Compensation Recovery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Adopted by the Board of Directors (the “Board”) of Arbutus Biopharma Corporation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on October 18, 2023</w:t>
      </w:r>
    </w:p>
    <w:p>
      <w:pPr>
        <w:spacing w:after="0" w:line="16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Company is committed to conducting business in accordance with the highest ethical and legal standards, and the Board believes that a culture that emphasizes integrity and accountability is in the best interests of the Company and its shareholders and essential to the Company’s success. The Board is therefore adopting this Incentive Compensation Recovery Policy (this “Policy”) to provide for the recovery of certain incentive compensation in the event of an Accounting Restatement. This Policy is intended to foster a culture of compliance and accountability, to reward integrity, and to reinforce the Company’s pay-for-performance compensation philosophy.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Statement of Policy</w:t>
      </w:r>
    </w:p>
    <w:p>
      <w:pPr>
        <w:spacing w:after="0" w:line="1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In the event the Company is required to prepare an Accounting Restatement, except as otherwise set forth in this Policy, the Company shall recover, reasonably promptly, the Excess Incentive Compensation received by any Covered Executive during the Recoupment Period.</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This Policy applies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Nasdaq Stock Market LLC (“Nasdaq”) or another national securities exchange or association. This Policy may therefore apply to a Covered Executive even after that person is no longer a Company employee or a Covered Executive at the time of recovery.</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Incentive Compensation is deemed “received” for purposes of this Policy in the fiscal period during which the financial reporting measure specified in the Incentive Compensation award is attained, even if the payment or issuance of such Incentive Compensation occurs after the end of that period. For example, if the performance target for an award is based on total shareholder return or revenue for the year ended December 31, 2023, the award will be deemed to have been received in 2023 even if paid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Exceptions</w:t>
      </w:r>
    </w:p>
    <w:p>
      <w:pPr>
        <w:spacing w:after="0" w:line="16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Company is not required to recover Excess Incentive Compensation pursuant to this Policy to the extent the Executive Compensation and Human Resources Committee (the “Committee”) makes a determination that recovery would be impracticable for one of the following reasons (and the applicable procedural requirements are met):</w:t>
      </w:r>
    </w:p>
    <w:p>
      <w:pPr>
        <w:spacing w:after="0" w:line="143" w:lineRule="exact"/>
        <w:rPr>
          <w:sz w:val="20"/>
          <w:szCs w:val="20"/>
          <w:color w:val="auto"/>
        </w:rPr>
      </w:pPr>
    </w:p>
    <w:p>
      <w:pPr>
        <w:jc w:val="both"/>
        <w:ind w:left="260" w:hanging="255"/>
        <w:spacing w:after="0" w:line="228" w:lineRule="auto"/>
        <w:tabs>
          <w:tab w:leader="none" w:pos="25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making a reasonable and documented attempt to recover the Excess Incentive Compensation, which documentation will be provided to Nasdaq to the extent required, the Committee determines that the direct expenses that would be paid to a third party to assist in enforcing this Policy would exceed the amount to be recovered; or</w:t>
      </w:r>
    </w:p>
    <w:p>
      <w:pPr>
        <w:spacing w:after="0" w:line="143" w:lineRule="exact"/>
        <w:rPr>
          <w:rFonts w:ascii="Times New Roman" w:cs="Times New Roman" w:eastAsia="Times New Roman" w:hAnsi="Times New Roman"/>
          <w:sz w:val="17"/>
          <w:szCs w:val="17"/>
          <w:color w:val="auto"/>
        </w:rPr>
      </w:pPr>
    </w:p>
    <w:p>
      <w:pPr>
        <w:ind w:left="260" w:hanging="255"/>
        <w:spacing w:after="0" w:line="238" w:lineRule="auto"/>
        <w:tabs>
          <w:tab w:leader="none" w:pos="25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determines that recovery would likely cause an otherwise tax-qualified retirement plan, under which benefits are broadly available to employees of the Company, to fail to meet the requirements of 26 U.S.C. 401(a)(13) or 26 U.S.C. 411(a) and regulations thereunder.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04"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Accounting Restatement</w:t>
      </w:r>
      <w:r>
        <w:rPr>
          <w:rFonts w:ascii="Times New Roman" w:cs="Times New Roman" w:eastAsia="Times New Roman" w:hAnsi="Times New Roman"/>
          <w:sz w:val="17"/>
          <w:szCs w:val="17"/>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For the avoidance of doubt, a restatement resulting solely from any one or more of the following is not an Accounting Restatement: retrospective application of a change in generally accepted accounting principles; retrospective revision to reportable segment information due to a change in the structure of an issuer’s internal organization; retrospective reclassification due to a discontinued operation; retrospective application of a change in reporting entity, such as from a reorganization of entities under common control; retrospective adjustment to provisional amounts in connection with a prior business combination; and retrospective revision for stock splits, reverse stock splits, stock dividends or other changes in capital structure.</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Covered Executive</w:t>
      </w:r>
      <w:r>
        <w:rPr>
          <w:rFonts w:ascii="Times New Roman" w:cs="Times New Roman" w:eastAsia="Times New Roman" w:hAnsi="Times New Roman"/>
          <w:sz w:val="17"/>
          <w:szCs w:val="17"/>
          <w:color w:val="auto"/>
        </w:rPr>
        <w:t>” shall mean the Company’s Chief Executive Officer, President, Chief Financial Officer, principal accounting officer (or if there is no such accounting officer, the controller), any vice-president of the Company in charge of a principal business unit, division, or function, any other officer who performs a policy-making function for the Company, any other person who performs similar policy-making functions for the Company, and any other employee who may from time to time be deemed subject to this Policy by the Committee. For purposes of the foregoing, designation by the Board as an “Officer” for purposes of Rule 16a-1(f) under the Securities Exchange Act of 1934, as amended (the “Exchange Act”) shall constitute designation as a Covered Executive.</w:t>
      </w:r>
    </w:p>
    <w:p>
      <w:pPr>
        <w:spacing w:after="0" w:line="14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Excess Incentive Compensation</w:t>
      </w:r>
      <w:r>
        <w:rPr>
          <w:rFonts w:ascii="Times New Roman" w:cs="Times New Roman" w:eastAsia="Times New Roman" w:hAnsi="Times New Roman"/>
          <w:sz w:val="17"/>
          <w:szCs w:val="17"/>
          <w:color w:val="auto"/>
        </w:rPr>
        <w:t>” means the amount of Incentive Compensation received during the Recoupment Period by any Covered Executive that exceeds the amount of Incentive Compensation that otherwise would have been received by such Covered Executive if the determination of the Incentive Compensation to be received had been determined based on restated amounts in the Accounting Restatement and without regard to any taxes paid.</w:t>
      </w:r>
    </w:p>
    <w:p>
      <w:pPr>
        <w:spacing w:after="0" w:line="13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means any compensation (including cash and equity compensation) that is granted, earned, or vested based wholly or in part upon the attainment of a financial reporting measure. For purposes of this definition, a “</w:t>
      </w:r>
      <w:r>
        <w:rPr>
          <w:rFonts w:ascii="Times New Roman" w:cs="Times New Roman" w:eastAsia="Times New Roman" w:hAnsi="Times New Roman"/>
          <w:sz w:val="17"/>
          <w:szCs w:val="17"/>
          <w:i w:val="1"/>
          <w:iCs w:val="1"/>
          <w:color w:val="auto"/>
        </w:rPr>
        <w:t>financial reporting measure</w:t>
      </w:r>
      <w:r>
        <w:rPr>
          <w:rFonts w:ascii="Times New Roman" w:cs="Times New Roman" w:eastAsia="Times New Roman" w:hAnsi="Times New Roman"/>
          <w:sz w:val="17"/>
          <w:szCs w:val="17"/>
          <w:color w:val="auto"/>
        </w:rPr>
        <w:t>” is (i) any measure that is determined and presented in accordance with the accounting principles used in preparing the Company’s financial statements and any measure derived wholly or in part from such measures, or</w:t>
      </w:r>
    </w:p>
    <w:p>
      <w:pPr>
        <w:spacing w:after="0" w:line="1" w:lineRule="exact"/>
        <w:rPr>
          <w:sz w:val="20"/>
          <w:szCs w:val="20"/>
          <w:color w:val="auto"/>
        </w:rPr>
      </w:pPr>
    </w:p>
    <w:p>
      <w:pPr>
        <w:jc w:val="both"/>
        <w:ind w:firstLine="5"/>
        <w:spacing w:after="0" w:line="221" w:lineRule="auto"/>
        <w:tabs>
          <w:tab w:leader="none" w:pos="26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share price and/or total shareholder return. A financial reporting measure need not be presented within the financial statements or included in a filing with the commission. Incentive Compensation subject to this Policy may be provided by the Company or subsidiaries or affiliates of the Company (“Company Affiliates”).</w:t>
      </w:r>
    </w:p>
    <w:p>
      <w:pPr>
        <w:spacing w:after="0" w:line="13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Recoupment Period</w:t>
      </w:r>
      <w:r>
        <w:rPr>
          <w:rFonts w:ascii="Times New Roman" w:cs="Times New Roman" w:eastAsia="Times New Roman" w:hAnsi="Times New Roman"/>
          <w:sz w:val="17"/>
          <w:szCs w:val="17"/>
          <w:color w:val="auto"/>
        </w:rPr>
        <w:t>” means the three completed fiscal years preceding the Trigger Date, and any transition period (that results from a change in the Company’s fiscal year) of less than nine months within or immediately following those three completed fiscal years, provided that any transition period of nine months or more shall count as a full fiscal year.</w:t>
      </w:r>
    </w:p>
    <w:p>
      <w:pPr>
        <w:spacing w:after="0" w:line="13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Trigger Date</w:t>
      </w:r>
      <w:r>
        <w:rPr>
          <w:rFonts w:ascii="Times New Roman" w:cs="Times New Roman" w:eastAsia="Times New Roman" w:hAnsi="Times New Roman"/>
          <w:sz w:val="17"/>
          <w:szCs w:val="17"/>
          <w:color w:val="auto"/>
        </w:rPr>
        <w:t>” means the earlier to occur of: (a) the date the Board, the Audit Committee (or such other Committee of the Board as may be authorized to make such a conclusion), or the officer or officers of the Company authorized to take such action if action by the Board is not required concludes, or reasonably should have concluded, that the Company is required to prepare an Accounting Restatement; and (b) the date a court, regulator, or other legally authorized body directs the Company to prepare an Accounting Restatement; in the case of both (a) and (b) regardless of if or when restated financial statements are filed.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04"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This Policy is intended to comply with Nasdaq Listing Rule 5608, Section 10D of the Exchange Act, and Rule 10D-1(b)(1) as promulgated under the Exchange Act and shall be interpreted in a manner consistent with those requirements. The Committee has full authority to interpret and administer this Policy. The Committee’s determinations under this Policy shall be final and binding on all persons, need not be uniform with respect to each individual covered by the Policy, and shall be given the maximum deference permitted by law.</w:t>
      </w:r>
    </w:p>
    <w:p>
      <w:pPr>
        <w:spacing w:after="0" w:line="14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Committee has the authority to determine the appropriate means of recovering Excess Incentive Compensation based on the particular facts and circumstances, which could include, but is not limited to, seeking direct reimbursement, forfeiture of awards, offsets against other payments, and forfeiture of deferred compensation (subject to compliance with Section 409A of the Internal Revenue Code).</w:t>
      </w:r>
    </w:p>
    <w:p>
      <w:pPr>
        <w:spacing w:after="0" w:line="14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Subject to any limitations under applicable law, the Committee may authorize any officer or employee of the Company to take actions necessary or appropriate to carry out the purpose and intent of this Policy, provided that no such authorization shall relate to any recovery under this Policy that involves such officer or employee.</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If the Committee cannot determine the amount of excess Incentive Compensation received by a Covered Executive directly from the information in the Accounting Restatement, such as in the case of Incentive Compensation tied to share price or total shareholder return, then it shall make its determination based on its reasonable estimate of the effect of the Accounting Restatement and shall maintain documentation of such determination, including for purposes of providing such documentation to Nasdaq.</w:t>
      </w:r>
    </w:p>
    <w:p>
      <w:pPr>
        <w:spacing w:after="0" w:line="14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Except where an action is required by Nasdaq Listing Rule 5608, Section 10D of the Exchange Act or Rule 10D-1(b)(1) promulgated under the Exchange Act to be determined in a different matter, the Board may act to have the independent directors of the Board administer this Policy in place of the Committee in any particular circumstance.</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Each Covered Executive shall sign an Incentive Compensation Recovery Policy Acknowledgement and Agreement in the form attached to this resolution as Exhibit A or such other form as approved by the Committee in its sole discretion.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 Indemnification or Advancement of Legal Fees</w:t>
      </w:r>
    </w:p>
    <w:p>
      <w:pPr>
        <w:spacing w:after="0" w:line="16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Notwithstanding the terms of any indemnification agreement, insurance policy, contractual arrangement, the governing documents of the Company or other document or arrangement, the Company shall not indemnify any Covered Executive against, or pay the premiums for any insurance policy to cover, any amounts recovered under this Policy or any expenses that a Covered Executive incurs in opposing Company efforts to recoup amounts pursuant to the Policy.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Non-Exclusive Remedy; Successors</w:t>
      </w:r>
    </w:p>
    <w:p>
      <w:pPr>
        <w:spacing w:after="0" w:line="16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Recovery of Incentive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Incentive Compensation from Covered Executives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04"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successors, beneficiaries, heirs, executors, administrators, or other legal representatives.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Amendment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may be amended from time to time by the Committee of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Effective Date</w:t>
      </w:r>
    </w:p>
    <w:p>
      <w:pPr>
        <w:spacing w:after="0"/>
        <w:rPr>
          <w:sz w:val="20"/>
          <w:szCs w:val="20"/>
          <w:color w:val="auto"/>
        </w:rPr>
      </w:pPr>
      <w:r>
        <w:rPr>
          <w:rFonts w:ascii="Times New Roman" w:cs="Times New Roman" w:eastAsia="Times New Roman" w:hAnsi="Times New Roman"/>
          <w:sz w:val="17"/>
          <w:szCs w:val="17"/>
          <w:color w:val="auto"/>
        </w:rPr>
        <w:t>This Policy is adopted as of October 18, 2023 and shall apply to any Incentive Compensation received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04"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jc w:val="center"/>
        <w:spacing w:after="0" w:line="208" w:lineRule="auto"/>
        <w:rPr>
          <w:sz w:val="20"/>
          <w:szCs w:val="20"/>
          <w:color w:val="auto"/>
        </w:rPr>
      </w:pPr>
      <w:r>
        <w:rPr>
          <w:rFonts w:ascii="Times New Roman" w:cs="Times New Roman" w:eastAsia="Times New Roman" w:hAnsi="Times New Roman"/>
          <w:sz w:val="17"/>
          <w:szCs w:val="17"/>
          <w:b w:val="1"/>
          <w:bCs w:val="1"/>
          <w:color w:val="auto"/>
        </w:rPr>
        <w:t>INCENTIVE COMPENSATION RECOVERY POLICY</w:t>
      </w: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 AND AGREEMENT</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This Acknowledgment and Agreement (this “Agreement”) is entered into as of the __ day of ______, 20[__], between Arbutus Biopharma Corporation, a</w:t>
      </w:r>
    </w:p>
    <w:p>
      <w:pPr>
        <w:spacing w:after="0"/>
        <w:tabs>
          <w:tab w:leader="none" w:pos="7200" w:val="left"/>
        </w:tabs>
        <w:rPr>
          <w:sz w:val="20"/>
          <w:szCs w:val="20"/>
          <w:color w:val="auto"/>
        </w:rPr>
      </w:pPr>
      <w:r>
        <w:rPr>
          <w:rFonts w:ascii="Times New Roman" w:cs="Times New Roman" w:eastAsia="Times New Roman" w:hAnsi="Times New Roman"/>
          <w:sz w:val="17"/>
          <w:szCs w:val="17"/>
          <w:color w:val="auto"/>
        </w:rPr>
        <w:t xml:space="preserve">company existing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“Company”), and</w:t>
      </w:r>
      <w:r>
        <w:rPr>
          <w:sz w:val="20"/>
          <w:szCs w:val="20"/>
          <w:color w:val="auto"/>
        </w:rPr>
        <w:tab/>
      </w:r>
      <w:r>
        <w:rPr>
          <w:rFonts w:ascii="Times New Roman" w:cs="Times New Roman" w:eastAsia="Times New Roman" w:hAnsi="Times New Roman"/>
          <w:sz w:val="16"/>
          <w:szCs w:val="16"/>
          <w:color w:val="auto"/>
        </w:rPr>
        <w:t>(the “Executive”), under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-20955</wp:posOffset>
            </wp:positionV>
            <wp:extent cx="32321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323215" cy="6985"/>
                    </a:xfrm>
                    <a:prstGeom prst="rect">
                      <a:avLst/>
                    </a:prstGeom>
                    <a:noFill/>
                  </pic:spPr>
                </pic:pic>
              </a:graphicData>
            </a:graphic>
          </wp:anchor>
        </w:drawing>
      </w:r>
    </w:p>
    <w:p>
      <w:pPr>
        <w:spacing w:after="0" w:line="102"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the Company (the “Board”) has adopted the Arbutus Biopharma Corporation Incentive Compensation Recovery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Policy (the “Policy”);</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Executive has been designated as a “Covered Executive” of the Company as defined in the Policy;</w:t>
      </w:r>
    </w:p>
    <w:p>
      <w:pPr>
        <w:spacing w:after="0" w:line="144" w:lineRule="exact"/>
        <w:rPr>
          <w:sz w:val="20"/>
          <w:szCs w:val="20"/>
          <w:color w:val="auto"/>
        </w:rPr>
      </w:pPr>
    </w:p>
    <w:p>
      <w:pPr>
        <w:jc w:val="both"/>
        <w:ind w:right="60" w:firstLine="509"/>
        <w:spacing w:after="0" w:line="23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consideration of, and as a condition to the receipt of, future cash and equity-based awards, performance-based compensation,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forms of cash or equity compensation made under the Company’s 2016 Omnibus Share and Incentive Plan, as supplemented and amended, or any other incentive compensation plan or program of the Company, the Executive and the Company are entering into this Agreement;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defined terms used but not defined in this Agreement shall have the meanings set forth in the Policy.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Company and the Executive hereby agree as follows:</w:t>
      </w:r>
    </w:p>
    <w:p>
      <w:pPr>
        <w:spacing w:after="0" w:line="148" w:lineRule="exact"/>
        <w:rPr>
          <w:sz w:val="20"/>
          <w:szCs w:val="20"/>
          <w:color w:val="auto"/>
        </w:rPr>
      </w:pPr>
    </w:p>
    <w:p>
      <w:pPr>
        <w:jc w:val="both"/>
        <w:ind w:left="460" w:hanging="455"/>
        <w:spacing w:after="0" w:line="267" w:lineRule="auto"/>
        <w:tabs>
          <w:tab w:leader="none" w:pos="45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acknowledges receipt of the Policy, to which this Agreement is attached, and the terms of which are hereby incorporated into this Agreement by reference. The Executive has read and understands the Policy and has had the opportunity to ask questions to the Company regarding the Policy.</w:t>
      </w:r>
    </w:p>
    <w:p>
      <w:pPr>
        <w:spacing w:after="0" w:line="99" w:lineRule="exact"/>
        <w:rPr>
          <w:rFonts w:ascii="Times New Roman" w:cs="Times New Roman" w:eastAsia="Times New Roman" w:hAnsi="Times New Roman"/>
          <w:sz w:val="16"/>
          <w:szCs w:val="16"/>
          <w:color w:val="auto"/>
        </w:rPr>
      </w:pPr>
    </w:p>
    <w:p>
      <w:pPr>
        <w:jc w:val="both"/>
        <w:ind w:left="460" w:hanging="455"/>
        <w:spacing w:after="0" w:line="228" w:lineRule="auto"/>
        <w:tabs>
          <w:tab w:leader="none" w:pos="45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hereby acknowledges and agrees that the Policy shall apply to any Incentive Compensation granted to the Executive by the Board or the Executive Compensation and Human Resources Committee of the Board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as set forth in the Policy by the Board and that all such Incentive Compensation shall be subject to recovery under the Policy.</w:t>
      </w:r>
    </w:p>
    <w:p>
      <w:pPr>
        <w:spacing w:after="0" w:line="121" w:lineRule="exact"/>
        <w:rPr>
          <w:rFonts w:ascii="Times New Roman" w:cs="Times New Roman" w:eastAsia="Times New Roman" w:hAnsi="Times New Roman"/>
          <w:sz w:val="17"/>
          <w:szCs w:val="17"/>
          <w:color w:val="auto"/>
        </w:rPr>
      </w:pPr>
    </w:p>
    <w:p>
      <w:pPr>
        <w:jc w:val="both"/>
        <w:ind w:left="460" w:hanging="455"/>
        <w:spacing w:after="0" w:line="220" w:lineRule="auto"/>
        <w:tabs>
          <w:tab w:leader="none" w:pos="45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award agreement or other document setting forth the terms and conditions of any Incentive Compensation granted to the Executive by the Board or the Committee shall be deemed to include the restrictions imposed by the Policy and incorporate the Policy by reference. In the event of any inconsistency between the provisions of the Policy and the applicable award agreement or other document setting forth the terms and conditions of any Incentive Compensation granted to the Executive, the terms of the Policy shall govern unless the terms of such other agreement or other document would result in a greater recovery by the Company.</w:t>
      </w:r>
    </w:p>
    <w:p>
      <w:pPr>
        <w:spacing w:after="0" w:line="122" w:lineRule="exact"/>
        <w:rPr>
          <w:rFonts w:ascii="Times New Roman" w:cs="Times New Roman" w:eastAsia="Times New Roman" w:hAnsi="Times New Roman"/>
          <w:sz w:val="17"/>
          <w:szCs w:val="17"/>
          <w:color w:val="auto"/>
        </w:rPr>
      </w:pPr>
    </w:p>
    <w:p>
      <w:pPr>
        <w:ind w:left="460" w:hanging="455"/>
        <w:spacing w:after="0" w:line="238" w:lineRule="auto"/>
        <w:tabs>
          <w:tab w:leader="none" w:pos="45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hereby acknowledges that, notwithstanding any indemnification agreement or other arrangement between the Company and the Executive, the Company shall not indemnify the Executive against, or pay the premiums for any insurance policy to cover, losses incurred under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80"/>
          </w:cols>
          <w:pgMar w:left="300" w:top="104"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hanging="455"/>
        <w:spacing w:after="0" w:line="238" w:lineRule="auto"/>
        <w:tabs>
          <w:tab w:leader="none" w:pos="45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it is determined by the Company that any amounts granted, awarded, earned or paid to the Executive must be forfeited or reimbursed to the Company, the Executive will promptly take any action necessary to effectuate such forfeiture and/or reimbursement.</w:t>
      </w:r>
    </w:p>
    <w:p>
      <w:pPr>
        <w:spacing w:after="0" w:line="121" w:lineRule="exact"/>
        <w:rPr>
          <w:rFonts w:ascii="Times New Roman" w:cs="Times New Roman" w:eastAsia="Times New Roman" w:hAnsi="Times New Roman"/>
          <w:sz w:val="17"/>
          <w:szCs w:val="17"/>
          <w:color w:val="auto"/>
        </w:rPr>
      </w:pPr>
    </w:p>
    <w:p>
      <w:pPr>
        <w:ind w:left="460" w:hanging="455"/>
        <w:spacing w:after="0" w:line="238" w:lineRule="auto"/>
        <w:tabs>
          <w:tab w:leader="none" w:pos="45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Policy shall survive and continue in full force and in accordance with their terms notwithstanding any termination of the Executive’s employment with the Company and its affiliates.</w:t>
      </w:r>
    </w:p>
    <w:p>
      <w:pPr>
        <w:spacing w:after="0" w:line="121" w:lineRule="exact"/>
        <w:rPr>
          <w:rFonts w:ascii="Times New Roman" w:cs="Times New Roman" w:eastAsia="Times New Roman" w:hAnsi="Times New Roman"/>
          <w:sz w:val="17"/>
          <w:szCs w:val="17"/>
          <w:color w:val="auto"/>
        </w:rPr>
      </w:pPr>
    </w:p>
    <w:p>
      <w:pPr>
        <w:ind w:left="460" w:hanging="455"/>
        <w:spacing w:after="0" w:line="238" w:lineRule="auto"/>
        <w:tabs>
          <w:tab w:leader="none" w:pos="45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two or more counterparts, and by facsimile or electronic transmission (such as PDF), each of which will be deemed to be an original but all of which, taken together, shall constitute one and the same Agreement.</w:t>
      </w:r>
    </w:p>
    <w:p>
      <w:pPr>
        <w:spacing w:after="0" w:line="121" w:lineRule="exact"/>
        <w:rPr>
          <w:rFonts w:ascii="Times New Roman" w:cs="Times New Roman" w:eastAsia="Times New Roman" w:hAnsi="Times New Roman"/>
          <w:sz w:val="17"/>
          <w:szCs w:val="17"/>
          <w:color w:val="auto"/>
        </w:rPr>
      </w:pPr>
    </w:p>
    <w:p>
      <w:pPr>
        <w:ind w:left="460" w:hanging="455"/>
        <w:spacing w:after="0"/>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the laws of the State of Delaware, without reference to principles of conflict of laws.</w:t>
      </w:r>
    </w:p>
    <w:p>
      <w:pPr>
        <w:spacing w:after="0" w:line="144" w:lineRule="exact"/>
        <w:rPr>
          <w:rFonts w:ascii="Times New Roman" w:cs="Times New Roman" w:eastAsia="Times New Roman" w:hAnsi="Times New Roman"/>
          <w:sz w:val="17"/>
          <w:szCs w:val="17"/>
          <w:color w:val="auto"/>
        </w:rPr>
      </w:pPr>
    </w:p>
    <w:p>
      <w:pPr>
        <w:jc w:val="both"/>
        <w:ind w:left="460" w:hanging="455"/>
        <w:spacing w:after="0" w:line="228" w:lineRule="auto"/>
        <w:tabs>
          <w:tab w:leader="none" w:pos="45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modifications or amendments of the terms of this Agreement shall be effective unless in writing and signed by the parties hereto or their respective duly authorized agents. The provisions of this Agreement shall inure to the benefit of, and be binding upon, the successors, administrators, heirs, legal representatives and assigns of the Executive, and the successors and assigns of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80"/>
          </w:cols>
          <w:pgMar w:left="300" w:top="104"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1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By:_______________________________________</w:t>
      </w:r>
    </w:p>
    <w:p>
      <w:pPr>
        <w:spacing w:after="0" w:line="13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Name:</w:t>
      </w:r>
    </w:p>
    <w:p>
      <w:pPr>
        <w:ind w:left="2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13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Name:</w:t>
      </w:r>
    </w:p>
    <w:p>
      <w:pPr>
        <w:ind w:left="2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A-3</w:t>
      </w:r>
    </w:p>
    <w:sectPr>
      <w:pgSz w:w="11900" w:h="16838" w:orient="portrait"/>
      <w:cols w:equalWidth="0" w:num="1">
        <w:col w:w="10820"/>
      </w:cols>
      <w:pgMar w:left="760" w:top="1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endash "/>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4"/>
    </w:lvl>
  </w:abstractNum>
  <w:abstractNum w:abstractNumId="48">
    <w:nsid w:val="61574095"/>
    <w:multiLevelType w:val="hybridMultilevel"/>
    <w:lvl w:ilvl="0">
      <w:lvlJc w:val="left"/>
      <w:lvlText w:val="%1"/>
      <w:numFmt w:val="decimal"/>
      <w:start w:val="1"/>
    </w:lvl>
    <w:lvl w:ilvl="1">
      <w:lvlJc w:val="left"/>
      <w:lvlText w:val="(%2)"/>
      <w:numFmt w:val="decimal"/>
      <w:start w:val="1"/>
    </w:lvl>
  </w:abstractNum>
  <w:abstractNum w:abstractNumId="49">
    <w:nsid w:val="7E0C57B1"/>
    <w:multiLevelType w:val="hybridMultilevel"/>
    <w:lvl w:ilvl="0">
      <w:lvlJc w:val="left"/>
      <w:lvlText w:val="%1."/>
      <w:numFmt w:val="decimal"/>
      <w:start w:val="15"/>
    </w:lvl>
    <w:lvl w:ilvl="1">
      <w:lvlJc w:val="left"/>
      <w:lvlText w:val="%2"/>
      <w:numFmt w:val="decimal"/>
      <w:start w:val="1"/>
    </w:lvl>
  </w:abstractNum>
  <w:abstractNum w:abstractNumId="50">
    <w:nsid w:val="77AE35EB"/>
    <w:multiLevelType w:val="hybridMultilevel"/>
    <w:lvl w:ilvl="0">
      <w:lvlJc w:val="left"/>
      <w:lvlText w:val="%1"/>
      <w:numFmt w:val="decimal"/>
      <w:start w:val="97"/>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upperLetter"/>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3"/>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decimal"/>
      <w:start w:val="3"/>
    </w:lvl>
  </w:abstractNum>
  <w:abstractNum w:abstractNumId="60">
    <w:nsid w:val="5DB70AE5"/>
    <w:multiLevelType w:val="hybridMultilevel"/>
    <w:lvl w:ilvl="0">
      <w:lvlJc w:val="left"/>
      <w:lvlText w:val="%1."/>
      <w:numFmt w:val="upperLetter"/>
      <w:start w:val="1"/>
    </w:lvl>
  </w:abstractNum>
  <w:abstractNum w:abstractNumId="61">
    <w:nsid w:val="100F8FCA"/>
    <w:multiLevelType w:val="hybridMultilevel"/>
    <w:lvl w:ilvl="0">
      <w:lvlJc w:val="left"/>
      <w:lvlText w:val="%1."/>
      <w:numFmt w:val="upperLetter"/>
      <w:start w:val="5"/>
    </w:lvl>
  </w:abstractNum>
  <w:abstractNum w:abstractNumId="62">
    <w:nsid w:val="6590700B"/>
    <w:multiLevelType w:val="hybridMultilevel"/>
    <w:lvl w:ilvl="0">
      <w:lvlJc w:val="left"/>
      <w:lvlText w:val="(%1)"/>
      <w:numFmt w:val="upperLetter"/>
      <w:start w:val="1"/>
    </w:lvl>
    <w:lvl w:ilvl="1">
      <w:lvlJc w:val="left"/>
      <w:lvlText w:val="-"/>
      <w:numFmt w:val="bullet"/>
      <w:start w:val="1"/>
    </w:lvl>
  </w:abstractNum>
  <w:abstractNum w:abstractNumId="63">
    <w:nsid w:val="15014ACB"/>
    <w:multiLevelType w:val="hybridMultilevel"/>
    <w:lvl w:ilvl="0">
      <w:lvlJc w:val="left"/>
      <w:lvlText w:val="(%1)"/>
      <w:numFmt w:val="upperLetter"/>
      <w:start w:val="2"/>
    </w:lvl>
  </w:abstractNum>
  <w:abstractNum w:abstractNumId="64">
    <w:nsid w:val="5F5E7FD0"/>
    <w:multiLevelType w:val="hybridMultilevel"/>
    <w:lvl w:ilvl="0">
      <w:lvlJc w:val="left"/>
      <w:lvlText w:val="%1."/>
      <w:numFmt w:val="decimal"/>
      <w:start w:val="9"/>
    </w:lvl>
  </w:abstractNum>
  <w:abstractNum w:abstractNumId="65">
    <w:nsid w:val="98A3148"/>
    <w:multiLevelType w:val="hybridMultilevel"/>
    <w:lvl w:ilvl="0">
      <w:lvlJc w:val="left"/>
      <w:lvlText w:val="%1."/>
      <w:numFmt w:val="decimal"/>
      <w:start w:val="11"/>
    </w:lvl>
    <w:lvl w:ilvl="1">
      <w:lvlJc w:val="left"/>
      <w:lvlText w:val="%2."/>
      <w:numFmt w:val="decimal"/>
      <w:start w:val="12"/>
    </w:lvl>
    <w:lvl w:ilvl="2">
      <w:lvlJc w:val="left"/>
      <w:lvlText w:val="%3."/>
      <w:numFmt w:val="decimal"/>
      <w:start w:val="13"/>
    </w:lvl>
    <w:lvl w:ilvl="3">
      <w:lvlJc w:val="left"/>
      <w:lvlText w:val="%4."/>
      <w:numFmt w:val="decimal"/>
      <w:start w:val="14"/>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lvl w:ilvl="1">
      <w:lvlJc w:val="left"/>
      <w:lvlText w:val="(%2)"/>
      <w:numFmt w:val="lowerLetter"/>
      <w:start w:val="1"/>
    </w:lvl>
  </w:abstractNum>
  <w:abstractNum w:abstractNumId="68">
    <w:nsid w:val="42C296BD"/>
    <w:multiLevelType w:val="hybridMultilevel"/>
    <w:lvl w:ilvl="0">
      <w:lvlJc w:val="left"/>
      <w:lvlText w:val="%1."/>
      <w:numFmt w:val="decimal"/>
      <w:start w:val="1"/>
    </w:lvl>
    <w:lvl w:ilvl="1">
      <w:lvlJc w:val="left"/>
      <w:lvlText w:val="%2."/>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Roman"/>
      <w:start w:val="2"/>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0" Type="http://schemas.openxmlformats.org/officeDocument/2006/relationships/image" Target="media/image110.png"/><Relationship Id="rId145"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17" Type="http://schemas.openxmlformats.org/officeDocument/2006/relationships/hyperlink" Target="https://www.sec.gov/Archives/edgar/data/1447028/000117184315000358/exh_21.htm" TargetMode="External"/><Relationship Id="rId118" Type="http://schemas.openxmlformats.org/officeDocument/2006/relationships/hyperlink" Target="https://www.sec.gov/Archives/edgar/data/1447028/000162828018003276/exhibit31_articlesandartic.htm" TargetMode="External"/><Relationship Id="rId119" Type="http://schemas.openxmlformats.org/officeDocument/2006/relationships/hyperlink" Target="https://www.sec.gov/Archives/edgar/data/1447028/000162828018013909/exhibit31amendmenttoarticl.htm" TargetMode="External"/><Relationship Id="rId120" Type="http://schemas.openxmlformats.org/officeDocument/2006/relationships/hyperlink" Target="https://www.sec.gov/Archives/edgar/data/1447028/000119312511158553/dex417.htm" TargetMode="External"/><Relationship Id="rId121" Type="http://schemas.openxmlformats.org/officeDocument/2006/relationships/hyperlink" Target="https://www.sec.gov/Archives/edgar/data/1447028/000119312511158553/dex418.htm" TargetMode="External"/><Relationship Id="rId122" Type="http://schemas.openxmlformats.org/officeDocument/2006/relationships/hyperlink" Target="https://www.sec.gov/Archives/edgar/data/1447028/000119312511158553/dex419.htm" TargetMode="External"/><Relationship Id="rId123" Type="http://schemas.openxmlformats.org/officeDocument/2006/relationships/hyperlink" Target="https://www.sec.gov/Archives/edgar/data/1447028/000119312511158553/dex420.htm" TargetMode="External"/><Relationship Id="rId124" Type="http://schemas.openxmlformats.org/officeDocument/2006/relationships/hyperlink" Target="https://www.sec.gov/Archives/edgar/data/1447028/000119312513129590/d508557dex426.htm" TargetMode="External"/><Relationship Id="rId125" Type="http://schemas.openxmlformats.org/officeDocument/2006/relationships/hyperlink" Target="https://www.sec.gov/Archives/edgar/data/1447028/000119312513129590/d508557dex427.htm" TargetMode="External"/><Relationship Id="rId126" Type="http://schemas.openxmlformats.org/officeDocument/2006/relationships/hyperlink" Target="https://www.sec.gov/Archives/edgar/data/1447028/000117184315002592/exh_103.htm" TargetMode="External"/><Relationship Id="rId127" Type="http://schemas.openxmlformats.org/officeDocument/2006/relationships/hyperlink" Target="https://www.sec.gov/Archives/edgar/data/1447028/000162828016018534/exhibit101q22016.htm" TargetMode="External"/><Relationship Id="rId128" Type="http://schemas.openxmlformats.org/officeDocument/2006/relationships/hyperlink" Target="https://www.sec.gov/Archives/edgar/data/1447028/000162828016020766/exhibit101q32016.htm" TargetMode="External"/><Relationship Id="rId129" Type="http://schemas.openxmlformats.org/officeDocument/2006/relationships/hyperlink" Target="https://www.sec.gov/Archives/edgar/data/1447028/000162828016020766/exhibit102q32016.htm" TargetMode="External"/><Relationship Id="rId131" Type="http://schemas.openxmlformats.org/officeDocument/2006/relationships/hyperlink" Target="https://www.sec.gov/Archives/edgar/data/1447028/000162828018005886/exhibit101genevantmasterag.htm" TargetMode="External"/><Relationship Id="rId132" Type="http://schemas.openxmlformats.org/officeDocument/2006/relationships/hyperlink" Target="https://www.sec.gov/Archives/edgar/data/1447028/000144702819000006/exhibit1052execagreemtdhast.htm" TargetMode="External"/><Relationship Id="rId133" Type="http://schemas.openxmlformats.org/officeDocument/2006/relationships/hyperlink" Target="https://www.sec.gov/Archives/edgar/data/1447028/000144702824000035/exhibit1023mmcelhaughexe.htm" TargetMode="External"/><Relationship Id="rId134" Type="http://schemas.openxmlformats.org/officeDocument/2006/relationships/hyperlink" Target="https://www.sec.gov/Archives/edgar/data/1447028/000144702819000025/exhibit201redactedroyaltym.htm" TargetMode="External"/><Relationship Id="rId135" Type="http://schemas.openxmlformats.org/officeDocument/2006/relationships/hyperlink" Target="https://www.sec.gov/Archives/edgar/data/1447028/000144702820000071/a612020ex102.htm" TargetMode="External"/><Relationship Id="rId136" Type="http://schemas.openxmlformats.org/officeDocument/2006/relationships/hyperlink" Target="https://www.sec.gov/Archives/edgar/data/1447028/000144702819000025/exhibit20-3revised2016plan.htm" TargetMode="External"/><Relationship Id="rId137" Type="http://schemas.openxmlformats.org/officeDocument/2006/relationships/hyperlink" Target="https://www.sec.gov/Archives/edgar/data/1447028/000144702820000118/a2020-q210xqex103cross.htm" TargetMode="External"/><Relationship Id="rId138" Type="http://schemas.openxmlformats.org/officeDocument/2006/relationships/hyperlink" Target="https://www.sec.gov/Archives/edgar/data/1447028/000144702820000118/a2020-q210xqex1041stam.htm" TargetMode="External"/><Relationship Id="rId139" Type="http://schemas.openxmlformats.org/officeDocument/2006/relationships/hyperlink" Target="https://www.sec.gov/Archives/edgar/data/1447028/000144702820000118/a2020-q210xqex105secon.htm" TargetMode="External"/><Relationship Id="rId140" Type="http://schemas.openxmlformats.org/officeDocument/2006/relationships/hyperlink" Target="https://www.sec.gov/Archives/edgar/data/1447028/000144702821000072/a2021-12x8xkxgenevantex.htm" TargetMode="External"/><Relationship Id="rId141" Type="http://schemas.openxmlformats.org/officeDocument/2006/relationships/hyperlink" Target="https://www.sec.gov/Archives/edgar/data/1447028/000144702822000019/exhibit1041qilulicenseagre.htm" TargetMode="External"/><Relationship Id="rId142" Type="http://schemas.openxmlformats.org/officeDocument/2006/relationships/hyperlink" Target="https://www.sec.gov/Archives/edgar/data/1447028/000144702823000018/exhibit1041formofrsuawarda.htm" TargetMode="External"/><Relationship Id="rId143" Type="http://schemas.openxmlformats.org/officeDocument/2006/relationships/hyperlink" Target="https://www.sec.gov/Archives/edgar/data/1447028/000144702823000082/cmoexecutiveemploymentagre.htm" TargetMode="External"/><Relationship Id="rId144" Type="http://schemas.openxmlformats.org/officeDocument/2006/relationships/hyperlink" Target="https://www.sec.gov/Archives/edgar/data/1447028/000144702823000082/gcexecutiveemploymentagree.htm" TargetMode="External"/><Relationship Id="rId146" Type="http://schemas.openxmlformats.org/officeDocument/2006/relationships/hyperlink" Target="https://www.sec.gov/Archives/edgar/data/1447028/000144702823000082/naftzger-inducementoptiona.htm" TargetMode="External"/><Relationship Id="rId147" Type="http://schemas.openxmlformats.org/officeDocument/2006/relationships/hyperlink" Target="https://www.sec.gov/Archives/edgar/data/1447028/000144702824000061/omnibusplan2016wamend6.htm" TargetMode="External"/><Relationship Id="rId148" Type="http://schemas.openxmlformats.org/officeDocument/2006/relationships/hyperlink" Target="https://www.sec.gov/Archives/edgar/data/1447028/000117184315004476/exh_108.htm" TargetMode="External"/><Relationship Id="rId149" Type="http://schemas.openxmlformats.org/officeDocument/2006/relationships/hyperlink" Target="https://www.sec.gov/Archives/edgar/data/1447028/000144702824000084/firstamendmenttomjsemploy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2025-03-27T06:42:26Z</dcterms:created>
  <dcterms:modified xsi:type="dcterms:W3CDTF">2025-03-27T06:42:26Z</dcterms:modified>
</cp:coreProperties>
</file>