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1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u w:val="single"/>
        </w:rPr>
        <w:t>001-34949</w:t>
      </w:r>
    </w:p>
    <w:p>
      <w:pPr>
        <w:pStyle w:val="TextBody"/>
        <w:bidi w:val="0"/>
        <w:spacing w:lineRule="auto" w:line="288" w:before="160" w:after="283"/>
        <w:jc w:val="center"/>
        <w:rPr>
          <w:rFonts w:ascii="Times New Roman;serif" w:hAnsi="Times New Roman;serif"/>
          <w:b/>
          <w:color w:val="000000"/>
          <w:sz w:val="36"/>
          <w:u w:val="single"/>
        </w:rPr>
      </w:pPr>
      <w:r>
        <w:rPr>
          <w:rFonts w:ascii="Times New Roman;serif" w:hAnsi="Times New Roman;serif"/>
          <w:b/>
          <w:color w:val="000000"/>
          <w:sz w:val="36"/>
          <w:u w:val="single"/>
        </w:rPr>
        <w:t>ARBUTUS BIOPHARMA CORPORATION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85"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481"/>
        <w:gridCol w:w="481"/>
        <w:gridCol w:w="687"/>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98-0597776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701 Veterans Circle, Warminster, PA 18974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267-469-0914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79" w:type="dxa"/>
        <w:jc w:val="center"/>
        <w:tblInd w:w="0" w:type="dxa"/>
        <w:tblLayout w:type="fixed"/>
        <w:tblCellMar>
          <w:top w:w="28" w:type="dxa"/>
          <w:left w:w="28" w:type="dxa"/>
          <w:bottom w:w="28" w:type="dxa"/>
          <w:right w:w="28" w:type="dxa"/>
        </w:tblCellMar>
      </w:tblPr>
      <w:tblGrid>
        <w:gridCol w:w="1070"/>
        <w:gridCol w:w="937"/>
        <w:gridCol w:w="948"/>
        <w:gridCol w:w="539"/>
        <w:gridCol w:w="539"/>
        <w:gridCol w:w="541"/>
        <w:gridCol w:w="1085"/>
        <w:gridCol w:w="1085"/>
        <w:gridCol w:w="1535"/>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ABUS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711"/>
        <w:gridCol w:w="626"/>
        <w:gridCol w:w="628"/>
        <w:gridCol w:w="479"/>
        <w:gridCol w:w="479"/>
        <w:gridCol w:w="481"/>
        <w:gridCol w:w="614"/>
        <w:gridCol w:w="614"/>
        <w:gridCol w:w="616"/>
        <w:gridCol w:w="769"/>
        <w:gridCol w:w="769"/>
        <w:gridCol w:w="772"/>
        <w:gridCol w:w="703"/>
        <w:gridCol w:w="703"/>
        <w:gridCol w:w="99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44"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Exchange Act).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Yes  ☐     No ☒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10, 2026, the registrant had 197,847,835 common shares, without par value,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ARBUTUS BIOPHARMA CORPORATION</w:t>
      </w:r>
    </w:p>
    <w:tbl>
      <w:tblPr>
        <w:tblW w:w="10205" w:type="dxa"/>
        <w:jc w:val="left"/>
        <w:tblInd w:w="0" w:type="dxa"/>
        <w:tblLayout w:type="fixed"/>
        <w:tblCellMar>
          <w:top w:w="28" w:type="dxa"/>
          <w:left w:w="28" w:type="dxa"/>
          <w:bottom w:w="28" w:type="dxa"/>
          <w:right w:w="28" w:type="dxa"/>
        </w:tblCellMar>
      </w:tblPr>
      <w:tblGrid>
        <w:gridCol w:w="593"/>
        <w:gridCol w:w="504"/>
        <w:gridCol w:w="468"/>
        <w:gridCol w:w="2730"/>
        <w:gridCol w:w="2674"/>
        <w:gridCol w:w="2661"/>
        <w:gridCol w:w="167"/>
        <w:gridCol w:w="167"/>
        <w:gridCol w:w="241"/>
      </w:tblGrid>
      <w:tr>
        <w:trPr/>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0">
              <w:r>
                <w:rPr>
                  <w:rStyle w:val="InternetLink"/>
                  <w:rFonts w:ascii="Times New Roman;serif" w:hAnsi="Times New Roman;serif"/>
                  <w:b w:val="false"/>
                  <w:color w:val="0000FF"/>
                  <w:sz w:val="20"/>
                  <w:u w:val="single"/>
                </w:rPr>
                <w:t>PART I. FINANCIAL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0">
              <w:r>
                <w:rPr>
                  <w:rStyle w:val="InternetLink"/>
                  <w:rFonts w:ascii="Times New Roman;serif" w:hAnsi="Times New Roman;serif"/>
                  <w:b w:val="false"/>
                  <w:color w:val="0000FF"/>
                  <w:sz w:val="20"/>
                  <w:u w:val="single"/>
                </w:rPr>
                <w:t>1</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3">
              <w:r>
                <w:rPr>
                  <w:rStyle w:val="InternetLink"/>
                  <w:strike w:val="false"/>
                  <w:dstrike w:val="false"/>
                  <w:color w:val="0000FF"/>
                  <w:u w:val="none"/>
                  <w:effect w:val="none"/>
                </w:rPr>
                <w:t>           </w:t>
              </w:r>
            </w:hyperlink>
            <w:hyperlink w:anchor="i5575c4a8a8c541e6b1e8493c2b74a4d6_13">
              <w:r>
                <w:rPr>
                  <w:rStyle w:val="InternetLink"/>
                  <w:rFonts w:ascii="Times New Roman;serif" w:hAnsi="Times New Roman;serif"/>
                  <w:b w:val="false"/>
                  <w:strike w:val="false"/>
                  <w:dstrike w:val="false"/>
                  <w:color w:val="0000FF"/>
                  <w:sz w:val="20"/>
                  <w:u w:val="none"/>
                  <w:effect w:val="none"/>
                </w:rPr>
                <w:t>ITEM 1.</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3">
              <w:r>
                <w:rPr>
                  <w:rStyle w:val="InternetLink"/>
                  <w:rFonts w:ascii="Times New Roman;serif" w:hAnsi="Times New Roman;serif"/>
                  <w:b w:val="false"/>
                  <w:color w:val="0000FF"/>
                  <w:sz w:val="20"/>
                  <w:u w:val="single"/>
                </w:rPr>
                <w:t>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3">
              <w:r>
                <w:rPr>
                  <w:rStyle w:val="InternetLink"/>
                  <w:rFonts w:ascii="Times New Roman;serif" w:hAnsi="Times New Roman;serif"/>
                  <w:b w:val="false"/>
                  <w:color w:val="0000FF"/>
                  <w:sz w:val="20"/>
                  <w:u w:val="single"/>
                </w:rPr>
                <w:t>1</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67">
              <w:r>
                <w:rPr>
                  <w:rStyle w:val="InternetLink"/>
                  <w:strike w:val="false"/>
                  <w:dstrike w:val="false"/>
                  <w:color w:val="0000FF"/>
                  <w:u w:val="none"/>
                  <w:effect w:val="none"/>
                </w:rPr>
                <w:t>   </w:t>
              </w:r>
            </w:hyperlink>
            <w:hyperlink w:anchor="i5575c4a8a8c541e6b1e8493c2b74a4d6_67">
              <w:r>
                <w:rPr>
                  <w:rStyle w:val="InternetLink"/>
                  <w:rFonts w:ascii="Times New Roman;serif" w:hAnsi="Times New Roman;serif"/>
                  <w:b w:val="false"/>
                  <w:strike w:val="false"/>
                  <w:dstrike w:val="false"/>
                  <w:color w:val="0000FF"/>
                  <w:sz w:val="20"/>
                  <w:u w:val="none"/>
                  <w:effect w:val="none"/>
                </w:rPr>
                <w:t>ITEM 2.</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67">
              <w:r>
                <w:rPr>
                  <w:rStyle w:val="InternetLink"/>
                  <w:rFonts w:ascii="Times New Roman;serif" w:hAnsi="Times New Roman;serif"/>
                  <w:b w:val="false"/>
                  <w:color w:val="0000FF"/>
                  <w:sz w:val="20"/>
                  <w:u w:val="single"/>
                </w:rPr>
                <w:t>18</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91">
              <w:r>
                <w:rPr>
                  <w:rStyle w:val="InternetLink"/>
                  <w:rFonts w:ascii="Times New Roman;serif" w:hAnsi="Times New Roman;serif"/>
                  <w:b w:val="false"/>
                  <w:strike w:val="false"/>
                  <w:dstrike w:val="false"/>
                  <w:color w:val="0000FF"/>
                  <w:sz w:val="20"/>
                  <w:u w:val="none"/>
                  <w:effect w:val="none"/>
                </w:rPr>
                <w:t>ITEM 3.</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91">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91">
              <w:r>
                <w:rPr>
                  <w:rStyle w:val="InternetLink"/>
                  <w:rFonts w:ascii="Times New Roman;serif" w:hAnsi="Times New Roman;serif"/>
                  <w:b w:val="false"/>
                  <w:color w:val="0000FF"/>
                  <w:sz w:val="20"/>
                  <w:u w:val="single"/>
                </w:rPr>
                <w:t>37</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94">
              <w:r>
                <w:rPr>
                  <w:rStyle w:val="InternetLink"/>
                  <w:rFonts w:ascii="Times New Roman;serif" w:hAnsi="Times New Roman;serif"/>
                  <w:b w:val="false"/>
                  <w:strike w:val="false"/>
                  <w:dstrike w:val="false"/>
                  <w:color w:val="0000FF"/>
                  <w:sz w:val="20"/>
                  <w:u w:val="none"/>
                  <w:effect w:val="none"/>
                </w:rPr>
                <w:t>ITEM 4.</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94">
              <w:r>
                <w:rPr>
                  <w:rStyle w:val="InternetLink"/>
                  <w:rFonts w:ascii="Times New Roman;serif" w:hAnsi="Times New Roman;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94">
              <w:r>
                <w:rPr>
                  <w:rStyle w:val="InternetLink"/>
                  <w:rFonts w:ascii="Times New Roman;serif" w:hAnsi="Times New Roman;serif"/>
                  <w:b w:val="false"/>
                  <w:color w:val="0000FF"/>
                  <w:sz w:val="20"/>
                  <w:u w:val="single"/>
                </w:rPr>
                <w:t>37</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97">
              <w:r>
                <w:rPr>
                  <w:rStyle w:val="InternetLink"/>
                  <w:rFonts w:ascii="Times New Roman;serif" w:hAnsi="Times New Roman;serif"/>
                  <w:b w:val="false"/>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97">
              <w:r>
                <w:rPr>
                  <w:rStyle w:val="InternetLink"/>
                  <w:rFonts w:ascii="Times New Roman;serif" w:hAnsi="Times New Roman;serif"/>
                  <w:b w:val="false"/>
                  <w:color w:val="0000FF"/>
                  <w:sz w:val="20"/>
                  <w:u w:val="single"/>
                </w:rPr>
                <w:t>38</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00">
              <w:r>
                <w:rPr>
                  <w:rStyle w:val="InternetLink"/>
                  <w:rFonts w:ascii="Times New Roman;serif" w:hAnsi="Times New Roman;serif"/>
                  <w:b w:val="false"/>
                  <w:strike w:val="false"/>
                  <w:dstrike w:val="false"/>
                  <w:color w:val="0000FF"/>
                  <w:sz w:val="20"/>
                  <w:u w:val="none"/>
                  <w:effect w:val="none"/>
                </w:rPr>
                <w:t>ITEM 1.</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00">
              <w:r>
                <w:rPr>
                  <w:rStyle w:val="InternetLink"/>
                  <w:rFonts w:ascii="Times New Roman;serif" w:hAnsi="Times New Roman;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00">
              <w:r>
                <w:rPr>
                  <w:rStyle w:val="InternetLink"/>
                  <w:rFonts w:ascii="Times New Roman;serif" w:hAnsi="Times New Roman;serif"/>
                  <w:b w:val="false"/>
                  <w:color w:val="0000FF"/>
                  <w:sz w:val="20"/>
                  <w:u w:val="single"/>
                </w:rPr>
                <w:t>38</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03">
              <w:r>
                <w:rPr>
                  <w:rStyle w:val="InternetLink"/>
                  <w:strike w:val="false"/>
                  <w:dstrike w:val="false"/>
                  <w:color w:val="0000FF"/>
                  <w:u w:val="none"/>
                  <w:effect w:val="none"/>
                </w:rPr>
                <w:t>  </w:t>
              </w:r>
            </w:hyperlink>
            <w:hyperlink w:anchor="i5575c4a8a8c541e6b1e8493c2b74a4d6_103">
              <w:r>
                <w:rPr>
                  <w:rStyle w:val="InternetLink"/>
                  <w:rFonts w:ascii="Times New Roman;serif" w:hAnsi="Times New Roman;serif"/>
                  <w:b w:val="false"/>
                  <w:strike w:val="false"/>
                  <w:dstrike w:val="false"/>
                  <w:color w:val="0000FF"/>
                  <w:sz w:val="20"/>
                  <w:u w:val="none"/>
                  <w:effect w:val="none"/>
                </w:rPr>
                <w:t>ITEM 1A.</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03">
              <w:r>
                <w:rPr>
                  <w:rStyle w:val="InternetLink"/>
                  <w:rFonts w:ascii="Times New Roman;serif" w:hAnsi="Times New Roman;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03">
              <w:r>
                <w:rPr>
                  <w:rStyle w:val="InternetLink"/>
                  <w:rFonts w:ascii="Times New Roman;serif" w:hAnsi="Times New Roman;serif"/>
                  <w:b w:val="false"/>
                  <w:color w:val="0000FF"/>
                  <w:sz w:val="20"/>
                  <w:u w:val="single"/>
                </w:rPr>
                <w:t>40</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06">
              <w:r>
                <w:rPr>
                  <w:rStyle w:val="InternetLink"/>
                  <w:strike w:val="false"/>
                  <w:dstrike w:val="false"/>
                  <w:color w:val="0000FF"/>
                  <w:u w:val="none"/>
                  <w:effect w:val="none"/>
                </w:rPr>
                <w:t> </w:t>
              </w:r>
            </w:hyperlink>
            <w:hyperlink w:anchor="i5575c4a8a8c541e6b1e8493c2b74a4d6_106">
              <w:r>
                <w:rPr>
                  <w:rStyle w:val="InternetLink"/>
                  <w:rFonts w:ascii="Times New Roman;serif" w:hAnsi="Times New Roman;serif"/>
                  <w:b w:val="false"/>
                  <w:strike w:val="false"/>
                  <w:dstrike w:val="false"/>
                  <w:color w:val="0000FF"/>
                  <w:sz w:val="20"/>
                  <w:u w:val="none"/>
                  <w:effect w:val="none"/>
                </w:rPr>
                <w:t>ITEM 2.</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06">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09">
              <w:r>
                <w:rPr>
                  <w:rStyle w:val="InternetLink"/>
                  <w:rFonts w:ascii="Times New Roman;serif" w:hAnsi="Times New Roman;serif"/>
                  <w:b w:val="false"/>
                  <w:color w:val="0000FF"/>
                  <w:sz w:val="20"/>
                  <w:u w:val="single"/>
                </w:rPr>
                <w:t>40</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09">
              <w:r>
                <w:rPr>
                  <w:rStyle w:val="InternetLink"/>
                  <w:rFonts w:ascii="Times New Roman;serif" w:hAnsi="Times New Roman;serif"/>
                  <w:b w:val="false"/>
                  <w:strike w:val="false"/>
                  <w:dstrike w:val="false"/>
                  <w:color w:val="0000FF"/>
                  <w:sz w:val="20"/>
                  <w:u w:val="none"/>
                  <w:effect w:val="none"/>
                </w:rPr>
                <w:t>ITEM 3.</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09">
              <w:r>
                <w:rPr>
                  <w:rStyle w:val="InternetLink"/>
                  <w:rFonts w:ascii="Times New Roman;serif" w:hAnsi="Times New Roman;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09">
              <w:r>
                <w:rPr>
                  <w:rStyle w:val="InternetLink"/>
                  <w:rFonts w:ascii="Times New Roman;serif" w:hAnsi="Times New Roman;serif"/>
                  <w:b w:val="false"/>
                  <w:color w:val="0000FF"/>
                  <w:sz w:val="20"/>
                  <w:u w:val="single"/>
                </w:rPr>
                <w:t>40</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12">
              <w:r>
                <w:rPr>
                  <w:rStyle w:val="InternetLink"/>
                  <w:rFonts w:ascii="Times New Roman;serif" w:hAnsi="Times New Roman;serif"/>
                  <w:b w:val="false"/>
                  <w:strike w:val="false"/>
                  <w:dstrike w:val="false"/>
                  <w:color w:val="0000FF"/>
                  <w:sz w:val="20"/>
                  <w:u w:val="none"/>
                  <w:effect w:val="none"/>
                </w:rPr>
                <w:t>ITEM 4.</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12">
              <w:r>
                <w:rPr>
                  <w:rStyle w:val="InternetLink"/>
                  <w:rFonts w:ascii="Times New Roman;serif" w:hAnsi="Times New Roman;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12">
              <w:r>
                <w:rPr>
                  <w:rStyle w:val="InternetLink"/>
                  <w:rFonts w:ascii="Times New Roman;serif" w:hAnsi="Times New Roman;serif"/>
                  <w:b w:val="false"/>
                  <w:color w:val="0000FF"/>
                  <w:sz w:val="20"/>
                  <w:u w:val="single"/>
                </w:rPr>
                <w:t>40</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15">
              <w:r>
                <w:rPr>
                  <w:rStyle w:val="InternetLink"/>
                  <w:strike w:val="false"/>
                  <w:dstrike w:val="false"/>
                  <w:color w:val="0000FF"/>
                  <w:u w:val="none"/>
                  <w:effect w:val="none"/>
                </w:rPr>
                <w:t> </w:t>
              </w:r>
            </w:hyperlink>
            <w:hyperlink w:anchor="i5575c4a8a8c541e6b1e8493c2b74a4d6_115">
              <w:r>
                <w:rPr>
                  <w:rStyle w:val="InternetLink"/>
                  <w:rFonts w:ascii="Times New Roman;serif" w:hAnsi="Times New Roman;serif"/>
                  <w:b w:val="false"/>
                  <w:strike w:val="false"/>
                  <w:dstrike w:val="false"/>
                  <w:color w:val="0000FF"/>
                  <w:sz w:val="20"/>
                  <w:u w:val="none"/>
                  <w:effect w:val="none"/>
                </w:rPr>
                <w:t>ITEM 5.</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15">
              <w:r>
                <w:rPr>
                  <w:rStyle w:val="InternetLink"/>
                  <w:rFonts w:ascii="Times New Roman;serif" w:hAnsi="Times New Roman;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15">
              <w:r>
                <w:rPr>
                  <w:rStyle w:val="InternetLink"/>
                  <w:rFonts w:ascii="Times New Roman;serif" w:hAnsi="Times New Roman;serif"/>
                  <w:b w:val="false"/>
                  <w:color w:val="0000FF"/>
                  <w:sz w:val="20"/>
                  <w:u w:val="single"/>
                </w:rPr>
                <w:t>40</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75c4a8a8c541e6b1e8493c2b74a4d6_118">
              <w:r>
                <w:rPr>
                  <w:rStyle w:val="InternetLink"/>
                  <w:strike w:val="false"/>
                  <w:dstrike w:val="false"/>
                  <w:color w:val="0000FF"/>
                  <w:u w:val="none"/>
                  <w:effect w:val="none"/>
                </w:rPr>
                <w:t> </w:t>
              </w:r>
            </w:hyperlink>
            <w:hyperlink w:anchor="i5575c4a8a8c541e6b1e8493c2b74a4d6_118">
              <w:r>
                <w:rPr>
                  <w:rStyle w:val="InternetLink"/>
                  <w:rFonts w:ascii="Times New Roman;serif" w:hAnsi="Times New Roman;serif"/>
                  <w:b w:val="false"/>
                  <w:strike w:val="false"/>
                  <w:dstrike w:val="false"/>
                  <w:color w:val="0000FF"/>
                  <w:sz w:val="20"/>
                  <w:u w:val="none"/>
                  <w:effect w:val="none"/>
                </w:rPr>
                <w:t>ITEM 6.</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575c4a8a8c541e6b1e8493c2b74a4d6_118">
              <w:r>
                <w:rPr>
                  <w:rStyle w:val="InternetLink"/>
                  <w:rFonts w:ascii="Times New Roman;serif" w:hAnsi="Times New Roman;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575c4a8a8c541e6b1e8493c2b74a4d6_118">
              <w:r>
                <w:rPr>
                  <w:rStyle w:val="InternetLink"/>
                  <w:rFonts w:ascii="Times New Roman;serif" w:hAnsi="Times New Roman;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of U.S. Dollars, except share amounts)</w:t>
      </w:r>
    </w:p>
    <w:tbl>
      <w:tblPr>
        <w:tblW w:w="10205" w:type="dxa"/>
        <w:jc w:val="center"/>
        <w:tblInd w:w="0" w:type="dxa"/>
        <w:tblLayout w:type="fixed"/>
        <w:tblCellMar>
          <w:top w:w="28" w:type="dxa"/>
          <w:left w:w="28" w:type="dxa"/>
          <w:bottom w:w="28" w:type="dxa"/>
          <w:right w:w="28" w:type="dxa"/>
        </w:tblCellMar>
      </w:tblPr>
      <w:tblGrid>
        <w:gridCol w:w="2682"/>
        <w:gridCol w:w="2294"/>
        <w:gridCol w:w="2293"/>
        <w:gridCol w:w="212"/>
        <w:gridCol w:w="834"/>
        <w:gridCol w:w="109"/>
        <w:gridCol w:w="109"/>
        <w:gridCol w:w="109"/>
        <w:gridCol w:w="109"/>
        <w:gridCol w:w="292"/>
        <w:gridCol w:w="954"/>
        <w:gridCol w:w="208"/>
      </w:tblGrid>
      <w:tr>
        <w:trPr/>
        <w:tc>
          <w:tcPr>
            <w:tcW w:w="268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marketable securities, current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Genevant license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94,456 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of accumulated depreciation and impairment of $235 (December 31, 2025: $213) </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non-current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Unlimited number without par value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197,634,118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 192,531,225)</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(1,380,073)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76,576 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94,618 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and Comprehensive Income (Loss)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of U.S. Dollars,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46"/>
        <w:gridCol w:w="1270"/>
        <w:gridCol w:w="1282"/>
        <w:gridCol w:w="297"/>
        <w:gridCol w:w="889"/>
        <w:gridCol w:w="109"/>
        <w:gridCol w:w="109"/>
        <w:gridCol w:w="109"/>
        <w:gridCol w:w="109"/>
        <w:gridCol w:w="268"/>
        <w:gridCol w:w="918"/>
        <w:gridCol w:w="109"/>
        <w:gridCol w:w="109"/>
        <w:gridCol w:w="109"/>
        <w:gridCol w:w="109"/>
        <w:gridCol w:w="241"/>
        <w:gridCol w:w="945"/>
        <w:gridCol w:w="109"/>
        <w:gridCol w:w="109"/>
        <w:gridCol w:w="109"/>
        <w:gridCol w:w="109"/>
        <w:gridCol w:w="264"/>
        <w:gridCol w:w="922"/>
        <w:gridCol w:w="155"/>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Collaborations and licenses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 from Genevant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w:t>
            </w:r>
          </w:p>
        </w:tc>
        <w:tc>
          <w:tcPr>
            <w:tcW w:w="129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195,626,117 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191,130,631 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191,130,631 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securities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of U.S. Dollars,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5"/>
        <w:gridCol w:w="314"/>
        <w:gridCol w:w="315"/>
        <w:gridCol w:w="525"/>
        <w:gridCol w:w="526"/>
        <w:gridCol w:w="241"/>
        <w:gridCol w:w="109"/>
        <w:gridCol w:w="109"/>
        <w:gridCol w:w="109"/>
        <w:gridCol w:w="196"/>
        <w:gridCol w:w="871"/>
        <w:gridCol w:w="109"/>
        <w:gridCol w:w="109"/>
        <w:gridCol w:w="109"/>
        <w:gridCol w:w="109"/>
        <w:gridCol w:w="205"/>
        <w:gridCol w:w="678"/>
        <w:gridCol w:w="114"/>
        <w:gridCol w:w="109"/>
        <w:gridCol w:w="109"/>
        <w:gridCol w:w="109"/>
        <w:gridCol w:w="196"/>
        <w:gridCol w:w="888"/>
        <w:gridCol w:w="109"/>
        <w:gridCol w:w="109"/>
        <w:gridCol w:w="109"/>
        <w:gridCol w:w="109"/>
        <w:gridCol w:w="262"/>
        <w:gridCol w:w="886"/>
        <w:gridCol w:w="147"/>
        <w:gridCol w:w="109"/>
        <w:gridCol w:w="109"/>
        <w:gridCol w:w="109"/>
        <w:gridCol w:w="210"/>
        <w:gridCol w:w="791"/>
        <w:gridCol w:w="172"/>
      </w:tblGrid>
      <w:tr>
        <w:trPr/>
        <w:tc>
          <w:tcPr>
            <w:tcW w:w="8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192,531,225 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83,318 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(48,098)</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exercise of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4,149,396 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ESPP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upon vesting of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196,947,757 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74,256 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(1,210,378)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(48,195)</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260,177 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7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197,634,118 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74,321 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(1,215,521)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(48,244)</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258,733 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of U.S. Dollars, except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5"/>
        <w:gridCol w:w="314"/>
        <w:gridCol w:w="315"/>
        <w:gridCol w:w="525"/>
        <w:gridCol w:w="526"/>
        <w:gridCol w:w="241"/>
        <w:gridCol w:w="109"/>
        <w:gridCol w:w="109"/>
        <w:gridCol w:w="109"/>
        <w:gridCol w:w="196"/>
        <w:gridCol w:w="871"/>
        <w:gridCol w:w="109"/>
        <w:gridCol w:w="109"/>
        <w:gridCol w:w="109"/>
        <w:gridCol w:w="109"/>
        <w:gridCol w:w="205"/>
        <w:gridCol w:w="678"/>
        <w:gridCol w:w="114"/>
        <w:gridCol w:w="109"/>
        <w:gridCol w:w="109"/>
        <w:gridCol w:w="109"/>
        <w:gridCol w:w="196"/>
        <w:gridCol w:w="888"/>
        <w:gridCol w:w="109"/>
        <w:gridCol w:w="109"/>
        <w:gridCol w:w="109"/>
        <w:gridCol w:w="109"/>
        <w:gridCol w:w="262"/>
        <w:gridCol w:w="886"/>
        <w:gridCol w:w="147"/>
        <w:gridCol w:w="109"/>
        <w:gridCol w:w="109"/>
        <w:gridCol w:w="109"/>
        <w:gridCol w:w="229"/>
        <w:gridCol w:w="757"/>
        <w:gridCol w:w="187"/>
      </w:tblGrid>
      <w:tr>
        <w:trPr/>
        <w:tc>
          <w:tcPr>
            <w:tcW w:w="8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189,963,492 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82,048 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(1,346,572)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(48,135)</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97,366 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exercise of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ESPP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upon vesting of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191,481,474 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82,089 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(1,371,098)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(48,166)</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79,157 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8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191,641,511 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82,628 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(48,187)</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82,976 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ARBUTUS BIOPHARMA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of U.S. Dollars)</w:t>
      </w:r>
    </w:p>
    <w:tbl>
      <w:tblPr>
        <w:tblW w:w="7478" w:type="dxa"/>
        <w:jc w:val="center"/>
        <w:tblInd w:w="0" w:type="dxa"/>
        <w:tblLayout w:type="fixed"/>
        <w:tblCellMar>
          <w:top w:w="28" w:type="dxa"/>
          <w:left w:w="28" w:type="dxa"/>
          <w:bottom w:w="28" w:type="dxa"/>
          <w:right w:w="28" w:type="dxa"/>
        </w:tblCellMar>
      </w:tblPr>
      <w:tblGrid>
        <w:gridCol w:w="1824"/>
        <w:gridCol w:w="1603"/>
        <w:gridCol w:w="1612"/>
        <w:gridCol w:w="196"/>
        <w:gridCol w:w="736"/>
        <w:gridCol w:w="109"/>
        <w:gridCol w:w="109"/>
        <w:gridCol w:w="109"/>
        <w:gridCol w:w="109"/>
        <w:gridCol w:w="196"/>
        <w:gridCol w:w="721"/>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leasehold improvements and lab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and amortization of investments in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operating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Genevant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license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in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Disposition of investments in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pursuant to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pursuant to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ARBUTUS BIOPHARMA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of U.S. Dollars, except share and per share amounts)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1.    </w:t>
      </w:r>
      <w:r>
        <w:rPr>
          <w:rFonts w:ascii="Times New Roman;serif" w:hAnsi="Times New Roman;serif"/>
          <w:b/>
          <w:color w:val="000000"/>
          <w:sz w:val="20"/>
        </w:rPr>
        <w:t>Nature of business and future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protect and defend its intellectual property, which is the subject of its ongoing lawsuits against Pfizer Inc., BioNTech SE, and certain of their affiliates (collectively, “Pfizer/BioNTech”) for their use of the Company’s patented lipid nanoparticle (“LNP”) technology in their COVID-19 messenger ribonucleic acid interference (mRNA)-LNP vaccines and any other products that would infringe the asserted patents. The court issued a claim construction ruling in September 2025, which construed the disputed claim terms in a manner the Company generally considers to be favorable. The parties are awaiting further scheduling in the litigation. In July 2026, the Company, along with its exclusive licensee Genevant Sciences GmbH, filed three international lawsuits seeking to enforce patents protecting the Company’s LNP technology against Pfizer/BioNTech.</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2026, the Company, along with Genevant Sciences GmbH and, solely for specified purposes, its parent company Genevant Sciences Ltd. (collectively, “Genevant,” a related party), entered into a settlement agreement (the “Moderna Settlement Agreement”) with Moderna, Inc. and ModernaTX, Inc. (together, “Moderna”) to resolve all patent infringement litigation and patent revocation proceedings involving Moderna and its affiliates pending in the United States and internationally (the “Moderna LNP Litigation”). Under the terms of the Moderna Settlement Agreement, Moderna made an aggregate $950.0 million noncontingent lump sum payment (the “Noncontingent Settlement Payment”) to the Company and Genevant on July 8, 2026. The Company received $178.4 million on July 8, 2026 as its share of the Noncontingent Settlement Payment, which included reimbursement of the Company’s litigation costs. In addition, Moderna is obligated to pay the Company and Genevant an additional aggregate contingent lump sum payment of $1.3 billion (the “Contingent Settlement Payment”) upon a ruling that is favorable to the Company and Genevant in a limited appeal related to 28 U.S.C. §1498 that Moderna filed, as allowed under the Moderna Settlement Agreement. The Company owned approximately 16% of the outstanding common equity of Genevant as of June 30, 2026, and the Company anticipates the payment of a material dividend from Genevant in the third quarter of calendar year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an aggregate of $92.6 million in cash, cash equivalents and investments in marketable securities and no outstanding debt. The Company received $178.4 million as its share of the Noncontingent Settlement Payment on July 8, 2026. The Company believes it has sufficient cash resources to fund its operations for at least the next 12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the Company’s operations is dependent on obtaining the necessary regulatory approvals to bring one or more of its product candidates to market and achieve profitability from ongoing operations. The Company’s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development programs or the Company’s ability to continue to fund these programs in the future.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erif" w:hAnsi="Times New Roman;serif"/>
          <w:b/>
          <w:color w:val="000000"/>
          <w:sz w:val="20"/>
          <w:shd w:fill="FFFFFF" w:val="clear"/>
        </w:rPr>
        <w:t>2.    </w:t>
      </w:r>
      <w:r>
        <w:rPr>
          <w:rFonts w:ascii="Times New Roman;serif" w:hAnsi="Times New Roman;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2025 included in the Company’s Annual Report on Form 10-K for the year ended December 31, 2025.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June 30, 2026 and December 31, 2025, the Company’s results of operations for the three and six months ended June 30, 2026 and 2025, and the Company’s cash flows for the six months ended June 30, 2026 and 2025. Such adjustments are of a normal recurring nature. The results of operations for the three and six months ended June 30, 2026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2025, except as described below under the section entitled “Recent Accounting Pronouncements.”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balances and transactions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is calculated based on the weighted average number of common shares outstanding. Diluted net income (loss) per share is calculated using the treasury stock method and reflects the effect of all potentially dilutive securities (outstanding stock options and restricted stock units). The number of weighted average shares used in the calculation of net income per share for the three months ended June 30, 2025 and the six months ended June 30, 2026 were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7"/>
        <w:gridCol w:w="1562"/>
        <w:gridCol w:w="1573"/>
        <w:gridCol w:w="888"/>
        <w:gridCol w:w="820"/>
        <w:gridCol w:w="815"/>
        <w:gridCol w:w="109"/>
        <w:gridCol w:w="109"/>
        <w:gridCol w:w="109"/>
        <w:gridCol w:w="736"/>
        <w:gridCol w:w="703"/>
        <w:gridCol w:w="964"/>
      </w:tblGrid>
      <w:tr>
        <w:trPr/>
        <w:tc>
          <w:tcPr>
            <w:tcW w:w="181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w:t>
            </w:r>
          </w:p>
        </w:tc>
        <w:tc>
          <w:tcPr>
            <w:tcW w:w="2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191,551,282 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195,626,117 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from equity-based compensation plans</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848,451 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1,221,570 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192,399,733 </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196,847,687 </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Diluted net loss per share does not differ from basic net loss per share for the three months ended June 30, 2026 or the six months ended</w:t>
      </w:r>
      <w:r>
        <w:rPr>
          <w:color w:val="000000"/>
        </w:rPr>
        <w:t xml:space="preserve"> </w:t>
      </w:r>
      <w:r>
        <w:rPr>
          <w:rFonts w:ascii="Times New Roman;serif" w:hAnsi="Times New Roman;serif"/>
          <w:b w:val="false"/>
          <w:color w:val="000000"/>
          <w:sz w:val="20"/>
        </w:rPr>
        <w:t xml:space="preserve">June 30, 2025 since the effect of including potential common shares would be anti-dilutive as the Company was in a net loss position. Total antidilutive securities that were excluded from the computation of diluted weighted-average shares outstanding were as follows: </w:t>
      </w:r>
    </w:p>
    <w:tbl>
      <w:tblPr>
        <w:tblW w:w="10205" w:type="dxa"/>
        <w:jc w:val="left"/>
        <w:tblInd w:w="0" w:type="dxa"/>
        <w:tblLayout w:type="fixed"/>
        <w:tblCellMar>
          <w:top w:w="28" w:type="dxa"/>
          <w:left w:w="28" w:type="dxa"/>
          <w:bottom w:w="28" w:type="dxa"/>
          <w:right w:w="28" w:type="dxa"/>
        </w:tblCellMar>
      </w:tblPr>
      <w:tblGrid>
        <w:gridCol w:w="1556"/>
        <w:gridCol w:w="1365"/>
        <w:gridCol w:w="1373"/>
        <w:gridCol w:w="495"/>
        <w:gridCol w:w="250"/>
        <w:gridCol w:w="250"/>
        <w:gridCol w:w="249"/>
        <w:gridCol w:w="249"/>
        <w:gridCol w:w="249"/>
        <w:gridCol w:w="551"/>
        <w:gridCol w:w="250"/>
        <w:gridCol w:w="250"/>
        <w:gridCol w:w="109"/>
        <w:gridCol w:w="109"/>
        <w:gridCol w:w="109"/>
        <w:gridCol w:w="497"/>
        <w:gridCol w:w="295"/>
        <w:gridCol w:w="244"/>
        <w:gridCol w:w="222"/>
        <w:gridCol w:w="222"/>
        <w:gridCol w:w="222"/>
        <w:gridCol w:w="473"/>
        <w:gridCol w:w="281"/>
        <w:gridCol w:w="335"/>
      </w:tblGrid>
      <w:tr>
        <w:trPr/>
        <w:tc>
          <w:tcPr>
            <w:tcW w:w="15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restricted stock units</w:t>
            </w:r>
          </w:p>
        </w:tc>
        <w:tc>
          <w:tcPr>
            <w:tcW w:w="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9,137,410</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14,045,207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11,285,502</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15,417,620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from collaborations and licenses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collaboration agreements fall under the scope of Accounting Standards Codification (ASC)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when both parties are active participants in the arrangement and are exposed to significant risks and rewards. For certain arrangements under the scope of ASC 808, the Company analogizes to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for some aspects, including for the delivery of a good or service (i.e., a unit of account).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serif" w:hAnsi="Times New Roman;serif"/>
          <w:b w:val="false"/>
          <w:i/>
          <w:color w:val="000000"/>
          <w:sz w:val="20"/>
        </w:rPr>
        <w:t>Balance Sheet - Offsetting</w:t>
      </w:r>
      <w:r>
        <w:rPr>
          <w:color w:val="000000"/>
        </w:rPr>
        <w:t xml:space="preserve"> </w:t>
      </w:r>
      <w:r>
        <w:rPr>
          <w:rFonts w:ascii="Times New Roman;serif" w:hAnsi="Times New Roman;serif"/>
          <w:b w:val="false"/>
          <w:color w:val="000000"/>
          <w:sz w:val="20"/>
        </w:rPr>
        <w:t>(ASC 210-20) the Company’s deferred revenue was offset by a contract asset as further discussed in Note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Company adopted ASU 2023-09 for the year ended December 31, 2025 on a prospective basis and included the required enhanced disclosures in its Annual Report on Form 10-K for the year ended December 31, 2025. As the guidance relates to disclosure requirements only, adoption did not have an impact on the Company’s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reviewed all recently issued standards and has determined that such standards will not have a material impact on the Company’s financial statements or do not otherwise apply to the Company’s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financial instruments and other items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 </w:t>
      </w:r>
    </w:p>
    <w:p>
      <w:pPr>
        <w:pStyle w:val="TextBody"/>
        <w:bidi w:val="0"/>
        <w:spacing w:lineRule="auto" w:line="288" w:before="180" w:after="283"/>
        <w:ind w:left="0" w:right="0" w:hanging="540"/>
        <w:jc w:val="both"/>
        <w:rPr/>
      </w:pPr>
      <w:r>
        <w:rPr>
          <w:color w:val="000000"/>
        </w:rPr>
        <w:t>•</w:t>
      </w:r>
      <w:r>
        <w:rPr>
          <w:rFonts w:ascii="Times New Roman;serif" w:hAnsi="Times New Roman;serif"/>
          <w:b w:val="false"/>
          <w:color w:val="000000"/>
          <w:sz w:val="20"/>
        </w:rPr>
        <w:t>Level 1 inputs are quoted market prices for identical instruments available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ind w:left="0" w:right="0" w:hanging="540"/>
        <w:jc w:val="both"/>
        <w:rPr/>
      </w:pPr>
      <w:r>
        <w:rPr>
          <w:color w:val="000000"/>
        </w:rPr>
        <w:t>•</w:t>
      </w:r>
      <w:r>
        <w:rPr>
          <w:rFonts w:ascii="Times New Roman;serif" w:hAnsi="Times New Roman;serif"/>
          <w:b w:val="false"/>
          <w:color w:val="000000"/>
          <w:sz w:val="20"/>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80" w:after="283"/>
        <w:ind w:left="0" w:right="0" w:hanging="540"/>
        <w:jc w:val="both"/>
        <w:rPr/>
      </w:pPr>
      <w:r>
        <w:rPr>
          <w:color w:val="000000"/>
        </w:rPr>
        <w:t>•</w:t>
      </w:r>
      <w:r>
        <w:rPr>
          <w:rFonts w:ascii="Times New Roman;serif" w:hAnsi="Times New Roman;serif"/>
          <w:b w:val="false"/>
          <w:color w:val="000000"/>
          <w:sz w:val="20"/>
        </w:rPr>
        <w:t>Level 3 inputs are unobservable inputs for the asset or liability and will reflect management’s assumptions about market assumptions that would be used to price the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accounts receivable, accounts payable and accrued liabilities approximate their fair values due to the immediate or short-term maturity of these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$8.8 million as of June 30, 2026, and the increase of $0.4 million from December 31, 2025 has been recorded as a component of total operating expenses in the condensed consolidated statements of operations and comprehensive income (loss) for the six months ended June 30, 2026. The assumptions used in the discounted cash flow model are level 3 inputs as defined above. There were no changes in the assumptions as of June 30, 2026 compared to December 31, 2025. The Company assessed the sensitivity of the fair value measurement to changes in these unobservable inputs, and determined that changes within a reasonable range would not result in a materially different assessment of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 and indicates the fair value hierarchy of the valuation techniques used to determine such fair value:</w:t>
      </w:r>
    </w:p>
    <w:p>
      <w:pPr>
        <w:pStyle w:val="TextBody"/>
        <w:bidi w:val="0"/>
        <w:spacing w:before="0" w:after="0"/>
        <w:jc w:val="both"/>
        <w:rPr/>
      </w:pPr>
      <w:r>
        <w:rPr/>
      </w:r>
    </w:p>
    <w:tbl>
      <w:tblPr>
        <w:tblW w:w="8805" w:type="dxa"/>
        <w:jc w:val="left"/>
        <w:tblInd w:w="0" w:type="dxa"/>
        <w:tblLayout w:type="fixed"/>
        <w:tblCellMar>
          <w:top w:w="28" w:type="dxa"/>
          <w:left w:w="28" w:type="dxa"/>
          <w:bottom w:w="28" w:type="dxa"/>
          <w:right w:w="28" w:type="dxa"/>
        </w:tblCellMar>
      </w:tblPr>
      <w:tblGrid>
        <w:gridCol w:w="1341"/>
        <w:gridCol w:w="1181"/>
        <w:gridCol w:w="119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June 30, 2026</w:t>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8805" w:type="dxa"/>
        <w:jc w:val="left"/>
        <w:tblInd w:w="0" w:type="dxa"/>
        <w:tblLayout w:type="fixed"/>
        <w:tblCellMar>
          <w:top w:w="28" w:type="dxa"/>
          <w:left w:w="28" w:type="dxa"/>
          <w:bottom w:w="28" w:type="dxa"/>
          <w:right w:w="28" w:type="dxa"/>
        </w:tblCellMar>
      </w:tblPr>
      <w:tblGrid>
        <w:gridCol w:w="1344"/>
        <w:gridCol w:w="1185"/>
        <w:gridCol w:w="119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fair value of the Company’s contingent consideration: </w:t>
      </w:r>
    </w:p>
    <w:tbl>
      <w:tblPr>
        <w:tblW w:w="10205" w:type="dxa"/>
        <w:jc w:val="left"/>
        <w:tblInd w:w="0" w:type="dxa"/>
        <w:tblLayout w:type="fixed"/>
        <w:tblCellMar>
          <w:top w:w="28" w:type="dxa"/>
          <w:left w:w="28" w:type="dxa"/>
          <w:bottom w:w="28" w:type="dxa"/>
          <w:right w:w="28" w:type="dxa"/>
        </w:tblCellMar>
      </w:tblPr>
      <w:tblGrid>
        <w:gridCol w:w="959"/>
        <w:gridCol w:w="842"/>
        <w:gridCol w:w="846"/>
        <w:gridCol w:w="508"/>
        <w:gridCol w:w="1737"/>
        <w:gridCol w:w="262"/>
        <w:gridCol w:w="109"/>
        <w:gridCol w:w="109"/>
        <w:gridCol w:w="109"/>
        <w:gridCol w:w="604"/>
        <w:gridCol w:w="1336"/>
        <w:gridCol w:w="311"/>
        <w:gridCol w:w="109"/>
        <w:gridCol w:w="109"/>
        <w:gridCol w:w="109"/>
        <w:gridCol w:w="415"/>
        <w:gridCol w:w="1421"/>
        <w:gridCol w:w="310"/>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at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at end of the period</w:t>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4 for additional information regarding the fair value of the Company’s investments in marketable securities.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4.    Investments in marketable securities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in 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1238"/>
        <w:gridCol w:w="1055"/>
        <w:gridCol w:w="1065"/>
        <w:gridCol w:w="248"/>
        <w:gridCol w:w="850"/>
        <w:gridCol w:w="128"/>
        <w:gridCol w:w="109"/>
        <w:gridCol w:w="109"/>
        <w:gridCol w:w="109"/>
        <w:gridCol w:w="521"/>
        <w:gridCol w:w="1004"/>
        <w:gridCol w:w="271"/>
        <w:gridCol w:w="109"/>
        <w:gridCol w:w="109"/>
        <w:gridCol w:w="109"/>
        <w:gridCol w:w="509"/>
        <w:gridCol w:w="980"/>
        <w:gridCol w:w="264"/>
        <w:gridCol w:w="109"/>
        <w:gridCol w:w="109"/>
        <w:gridCol w:w="109"/>
        <w:gridCol w:w="211"/>
        <w:gridCol w:w="721"/>
        <w:gridCol w:w="159"/>
      </w:tblGrid>
      <w:tr>
        <w:trPr/>
        <w:tc>
          <w:tcPr>
            <w:tcW w:w="123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Gross Unrealized Gain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Gross Unrealized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June 30, 2026</w:t>
            </w:r>
          </w:p>
        </w:tc>
        <w:tc>
          <w:tcPr>
            <w:tcW w:w="6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equivalents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Investments in marketable short-term securities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73,513 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Gross unrealized gain (loss) is pre-tax and is reported in accumulated other comprehensive income (loss).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7"/>
        <w:gridCol w:w="1063"/>
        <w:gridCol w:w="1068"/>
        <w:gridCol w:w="248"/>
        <w:gridCol w:w="850"/>
        <w:gridCol w:w="128"/>
        <w:gridCol w:w="109"/>
        <w:gridCol w:w="109"/>
        <w:gridCol w:w="109"/>
        <w:gridCol w:w="521"/>
        <w:gridCol w:w="1004"/>
        <w:gridCol w:w="271"/>
        <w:gridCol w:w="109"/>
        <w:gridCol w:w="109"/>
        <w:gridCol w:w="109"/>
        <w:gridCol w:w="509"/>
        <w:gridCol w:w="980"/>
        <w:gridCol w:w="264"/>
        <w:gridCol w:w="109"/>
        <w:gridCol w:w="109"/>
        <w:gridCol w:w="109"/>
        <w:gridCol w:w="211"/>
        <w:gridCol w:w="721"/>
        <w:gridCol w:w="159"/>
      </w:tblGrid>
      <w:tr>
        <w:trPr/>
        <w:tc>
          <w:tcPr>
            <w:tcW w:w="122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Gross Unrealized Gain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Gross Unrealized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6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equivalents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Investments in marketable short-term securities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 </w:t>
      </w:r>
      <w:r>
        <w:rPr>
          <w:rFonts w:ascii="Times New Roman;serif" w:hAnsi="Times New Roman;serif"/>
          <w:b w:val="false"/>
          <w:color w:val="000000"/>
          <w:sz w:val="20"/>
        </w:rPr>
        <w:t>Gross unrealized gain (loss) is pre-tax and is reported in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contractual term to maturity of the $73.5 million of short-term marketable securities held by the Company as of June 30, 2026 is less than one year. As of June 30, 2026, the Company held no long-term marketable securities. As of December 31, 2025, the Company’s $73.5 million of short-term marketable securities had contractual maturities of less than one year, while the Company held no long-term marketable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32 available-for-sale investment debt securities in an unrealized loss position without an allowance for credit losses. As of December 31, 2025, there were no available-for-sale investment debt securities in an unrealized loss position without an allowance for credit losses. Unrealized losses on the Company’s investments in debt securities have not been recognized into income as the issuers’ securities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securities. The fair value is expected to recover as the securities approach maturity.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 on investments in marketable securities of $0.4 million and $0.3 million at June 30, 2026 and December 31, 2025, respectively, is included in prepaid expenses and other current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realized gains during either of the three and six months ended June 30, 2026 or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3 for additional information regarding the fair value of the Company’s investments in marketable securities.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Investment in Genevant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2018, the Company entered into an agreement with Roivant Sciences Ltd. (Roivant), its largest shareholder, to launch Genevant Sciences Ltd., a company focused on nucleic acid- and gene editing-based therapeutics enabled by the Company’s LNP and ligand conjugate delivery technologies. The Company licensed rights to its LNP and ligand conjugate delivery platforms to Genevant outside of hepatitis B (HBV), except to the extent certain rights had already been licensed to other third parties (the Genevant License). The Company retained all rights to its LNP and conjugate delivery platforms for HBV.</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June 30, 2026, the carrying value of the Company’s investment in Genevant was zero and the Company owned approximately 16% of the outstanding common equity of Genevant.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Accounts payable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were comprised of the following:</w:t>
      </w:r>
    </w:p>
    <w:tbl>
      <w:tblPr>
        <w:tblW w:w="7000" w:type="dxa"/>
        <w:jc w:val="left"/>
        <w:tblInd w:w="0" w:type="dxa"/>
        <w:tblLayout w:type="fixed"/>
        <w:tblCellMar>
          <w:top w:w="28" w:type="dxa"/>
          <w:left w:w="28" w:type="dxa"/>
          <w:bottom w:w="28" w:type="dxa"/>
          <w:right w:w="28" w:type="dxa"/>
        </w:tblCellMar>
      </w:tblPr>
      <w:tblGrid>
        <w:gridCol w:w="1448"/>
        <w:gridCol w:w="1276"/>
        <w:gridCol w:w="1280"/>
        <w:gridCol w:w="253"/>
        <w:gridCol w:w="741"/>
        <w:gridCol w:w="131"/>
        <w:gridCol w:w="109"/>
        <w:gridCol w:w="109"/>
        <w:gridCol w:w="109"/>
        <w:gridCol w:w="332"/>
        <w:gridCol w:w="970"/>
        <w:gridCol w:w="242"/>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accruals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 accruals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accruals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accounts payable and accrued liabilities</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the Company implemented changes to focus its efforts on advancing the clinical development of imdusiran and AB-101. The decision was made to exit the Company’s corporate headquarters in Warminster, Pennsylvania, implement workforce reductions and discontinue in-house scientific research. The Company recognized $12.9 million of restructuring charges in 2025, of which there was an aggregate of $0.2 million in medical benefit costs and lease expenses accrued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7.    Sale of future royalties </w:t>
      </w:r>
    </w:p>
    <w:p>
      <w:pPr>
        <w:pStyle w:val="TextBody"/>
        <w:bidi w:val="0"/>
        <w:spacing w:lineRule="auto" w:line="288" w:before="240" w:after="283"/>
        <w:jc w:val="both"/>
        <w:rPr/>
      </w:pPr>
      <w:r>
        <w:rPr>
          <w:rFonts w:ascii="Times New Roman;serif" w:hAnsi="Times New Roman;serif"/>
          <w:b w:val="false"/>
          <w:color w:val="000000"/>
          <w:sz w:val="20"/>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(Patisiran) (ONPATTRO), an RNA interference therapeutic currently being sold by Alnylam Pharmaceuticals, Inc. (Alnylam).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it fails to collect any such future royalties.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2026, the Company estimated an effective annual interest rate of approximately 1.5%.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2026, an aggregate of $26.9 million of royalties have been earned by OMERS. There are a number of factors that could materially affect the amount and timing of royalty payments from Alnylam, none of which are within the Company’s control.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recognized non-cash royalty revenue of $0.4 million and related non-cash interest expense of less than $0.1 million. During the six months ended June 30, 2025, the Company recognized non-cash royalty revenue of $1.0 million and related non-cash interest expense of less than $0.1 million.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shows the activity related to the net liability for the six months ended June 30, 2026 and 2025:</w:t>
      </w:r>
    </w:p>
    <w:tbl>
      <w:tblPr>
        <w:tblW w:w="7674" w:type="dxa"/>
        <w:jc w:val="center"/>
        <w:tblInd w:w="0" w:type="dxa"/>
        <w:tblLayout w:type="fixed"/>
        <w:tblCellMar>
          <w:top w:w="28" w:type="dxa"/>
          <w:left w:w="28" w:type="dxa"/>
          <w:bottom w:w="28" w:type="dxa"/>
          <w:right w:w="28" w:type="dxa"/>
        </w:tblCellMar>
      </w:tblPr>
      <w:tblGrid>
        <w:gridCol w:w="1966"/>
        <w:gridCol w:w="1727"/>
        <w:gridCol w:w="1737"/>
        <w:gridCol w:w="211"/>
        <w:gridCol w:w="616"/>
        <w:gridCol w:w="109"/>
        <w:gridCol w:w="109"/>
        <w:gridCol w:w="109"/>
        <w:gridCol w:w="109"/>
        <w:gridCol w:w="211"/>
        <w:gridCol w:w="61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liability related to sale of future royalties -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liability related to sale of future royalties - 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 In addition to the two royalty entitlements, the Company is entitled to receive payments upon the achievement of contractual milestones related to Alnylam’s use of the Company’s proprietary LNP technology for other products.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Contingencies and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Purchase Agreement with Enantigen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2014, Arbutus Biopharma,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is a financial liability and is measured at its fair value at each reporting period, with any changes in fair value from the previous reporting period recorded in the condensed consolidated statements of operations and comprehensive income (loss) (see Note 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consideration was $8.8 million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Collaborations, contracts and licensing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Collaborations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Qilu Pharmaceutical Co., Ltd.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 technology transfer and license agreement (the “Qilu License Agreement”) with Qilu Pharmaceutical Co., Ltd. (“Qilu”), pursuant to which the Company granted Qilu a sublicensable, royalty-bearing license, under certain intellectual property owned by the Company, which was non-exclusive as to development and manufacturing and exclusive with respect to commercialization of imdusiran, including pharmaceutical products that include imdusiran, for the treatment or prevention of HBV in China, Hong Kong, Macau and Taiwan (“Greater China and Taiwan”).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partial consideration for the rights granted by the Company, Qilu paid the Company a one-time upfront cash payment of $40.0 million, net of withholding taxes, on January 5, 2022, and agreed to pay the Company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were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Qilu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the Company and Qilu mutually agreed to conclude the strategic partnership and terminated the Qilu License Agreement and related agreements, and the Company now once again holds global rights for imdusiran. As no obligations remained under the Qilu License Agreement, the Company recognized the remainder of the $9.6 million of deferred revenue during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Until the conclusion of the strategic partnership with Qilu, the Company reevaluated the transaction price and the total estimated labor hours expected to be incurred to satisfy the performance obligations and adjusted the deferred revenue at the end of each reporting period, which resulted in changes to the amount of collaboration revenue recognized and deferred revenue. During the six months ended June 30, 2025, the Company recognized $0.5 million of revenue based on labor hours expended by the Company on its Manufacturing Obligations. During the three months ended June 30,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recognized the $0.1 million remaining amortization of costs associated with obtaining the Qilu License Agreement, for a total amortization expense for the six months ended June 30, 2025 of $0.2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Barinthus Biotherapeutics plc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July 2021, the Company entered into a clinical collaboration agreement with Barinthus Biotherapeutics plc (“Barinthus”), formerly Vaccitech plc, pursuant to which the Company completed IM-PROVE II, a Phase 2a proof-of-concept clinical trial evaluating the safety, antiviral activity and immunogenicity of a combination treatment with Barinthus’ VTP-300, an HBV immunotherapeutic, administered after imdusiran in patients with cHBV infection. This clinical trial was amended to include a treatment arm with the addition of an approved PD-1 monoclonal antibody inhibitor, nivolumab (“Opdivo</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responsible for managing this Phase 2a proof-of-concept clinical trial, subject to oversight by a joint development committee comprised of representatives from the Company and Barinthus. The Company and Barinthus retained full rights to their respective product candidates and split all costs associated with the clinical trial.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incurred $0.1 million of costs and received $0.2 million of refunds related to the collaboration, net of Barinthus’s 50% share, during the three and six months ended June 30, 2026, respectively, and reflected those amounts in research and development in the condensed consolidated statements of operations and comprehensive income (loss). During the three and six months ended June 30, 2025, the Company incurred expenses of $0.3 million and $0.6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Alnylam Pharmaceuticals, Inc. and Acuitas Therapeutics,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royalty entitlements to Alnylam’s global net sales of ONPATTRO.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it fails to collect any such future royalties. If this royalty entitlement reverts to the Company, it has the potential to provide an active royalty stream or to be otherwise monetized again in full or in part. From the inception of the royalty sale through June 30, 2026, an aggregate of $26.9 million of</w:t>
      </w:r>
      <w:r>
        <w:rPr>
          <w:color w:val="000000"/>
        </w:rPr>
        <w:t xml:space="preserve"> </w:t>
      </w:r>
      <w:r>
        <w:rPr>
          <w:rFonts w:ascii="Times New Roman;serif" w:hAnsi="Times New Roman;serif"/>
          <w:b w:val="false"/>
          <w:color w:val="000000"/>
          <w:sz w:val="20"/>
        </w:rPr>
        <w:t xml:space="preserve">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Licensing Agreements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Genevant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the Company, along with Genevant (a related party), entered into the Moderna Settlement Agreement with Moderna in the first quarter of 2026, whereby Moderna made an aggregate $950.0 million Noncontingent Settlement Payment to the Company and Genevant on July 8, 2026. The Company received $178.4 million on July 8, 2026 as its share of the Noncontingent Settlement Payment, which included reimbursement of the Company’s litigation costs.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the Company entered into an agreement (the “RSV Agreement”) with Genevant that provided that the Company would be entitled to any award of damages in, or proceeds from the settlement of, certain patent litigation against Moderna that is specifically allocated to infringing acts related to Moderna’s vaccine for respiratory syncytial virus (“mRESVIA”) and that, in the event there is no such specific allocation to mRESVIA, the Company and Genevant would discuss an appropriate allocation in good faith. The Moderna Settlement Agreement did not specifically allocate any settlement proceeds to infringing acts related to mRESVIA. On July 15, 2026, the Company and Genevant entered into a termination agreement (the “RSV Termination Agreement”) to terminate the RSV Agreement. On July 21, 2026, Genevant paid the Company a termination fee of $1.0 million pursuant to the RSV Termination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revenue of $178.4 million for its portion of the Noncontingent Settlement Payment, which included reimbursement of the Company’s litigation costs, as well as a corresponding receivable, which was included in current assets. The Company had no income tax expense during the three and six months ended June 30, 2026, as it utilized available net operating loss carryforwards to offset the taxable income generated from recognizing the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no amounts have been recognized related to the Contingent Settlement Payment.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 are summarized in the following table:</w:t>
      </w:r>
    </w:p>
    <w:tbl>
      <w:tblPr>
        <w:tblW w:w="7875" w:type="dxa"/>
        <w:jc w:val="left"/>
        <w:tblInd w:w="0" w:type="dxa"/>
        <w:tblLayout w:type="fixed"/>
        <w:tblCellMar>
          <w:top w:w="28" w:type="dxa"/>
          <w:left w:w="28" w:type="dxa"/>
          <w:bottom w:w="28" w:type="dxa"/>
          <w:right w:w="28" w:type="dxa"/>
        </w:tblCellMar>
      </w:tblPr>
      <w:tblGrid>
        <w:gridCol w:w="972"/>
        <w:gridCol w:w="854"/>
        <w:gridCol w:w="859"/>
        <w:gridCol w:w="211"/>
        <w:gridCol w:w="61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87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collaborations and licenses</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Acuitas Therapeutics,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 from Genevant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Alnylam Pharmaceuticals, Inc.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Shareholders’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Authorized share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authorized share capital consists of an unlimited number of common shares and preferred shares, without par value, and 1,164,000 Series A participating convertible preferred shares, without par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March 26, 2025, the Company terminated its Open Market Sale Agreement with Jefferies LLC dated December 20, 2018, as amended (the Sale Agreement), under which the Company could issue and sell common shares, from time to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did not issue any common shares pursuant to the Sale Agreement during the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information about the Company’s stock-based compensation for the three and six months ended June 30, 2026 and 2025 and the expense recognized in the condensed consolidated statements of operations: </w:t>
      </w:r>
    </w:p>
    <w:tbl>
      <w:tblPr>
        <w:tblW w:w="8864" w:type="dxa"/>
        <w:jc w:val="center"/>
        <w:tblInd w:w="0" w:type="dxa"/>
        <w:tblLayout w:type="fixed"/>
        <w:tblCellMar>
          <w:top w:w="28" w:type="dxa"/>
          <w:left w:w="28" w:type="dxa"/>
          <w:bottom w:w="28" w:type="dxa"/>
          <w:right w:w="28" w:type="dxa"/>
        </w:tblCellMar>
      </w:tblPr>
      <w:tblGrid>
        <w:gridCol w:w="1335"/>
        <w:gridCol w:w="1175"/>
        <w:gridCol w:w="1180"/>
        <w:gridCol w:w="228"/>
        <w:gridCol w:w="666"/>
        <w:gridCol w:w="117"/>
        <w:gridCol w:w="117"/>
        <w:gridCol w:w="117"/>
        <w:gridCol w:w="117"/>
        <w:gridCol w:w="241"/>
        <w:gridCol w:w="585"/>
        <w:gridCol w:w="117"/>
        <w:gridCol w:w="109"/>
        <w:gridCol w:w="109"/>
        <w:gridCol w:w="109"/>
        <w:gridCol w:w="249"/>
        <w:gridCol w:w="727"/>
        <w:gridCol w:w="109"/>
        <w:gridCol w:w="109"/>
        <w:gridCol w:w="109"/>
        <w:gridCol w:w="109"/>
        <w:gridCol w:w="249"/>
        <w:gridCol w:w="727"/>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 during period</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 (RSUs)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 during period</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income (loss) that also is reported on the condensed consolidated statements of operations and comprehensive income (loss) as consolidated net income (loss). The chief operating decision maker uses net income (loss) to monitor budget versus actual results and to evaluate the overall cash burn of the business.</w:t>
      </w:r>
    </w:p>
    <w:p>
      <w:pPr>
        <w:pStyle w:val="TextBody"/>
        <w:bidi w:val="0"/>
        <w:spacing w:before="0" w:after="0"/>
        <w:jc w:val="both"/>
        <w:rPr/>
      </w:pPr>
      <w:r>
        <w:rPr/>
      </w:r>
    </w:p>
    <w:tbl>
      <w:tblPr>
        <w:tblW w:w="8955" w:type="dxa"/>
        <w:jc w:val="left"/>
        <w:tblInd w:w="0" w:type="dxa"/>
        <w:tblLayout w:type="fixed"/>
        <w:tblCellMar>
          <w:top w:w="28" w:type="dxa"/>
          <w:left w:w="28" w:type="dxa"/>
          <w:bottom w:w="28" w:type="dxa"/>
          <w:right w:w="28" w:type="dxa"/>
        </w:tblCellMar>
      </w:tblPr>
      <w:tblGrid>
        <w:gridCol w:w="1305"/>
        <w:gridCol w:w="1149"/>
        <w:gridCol w:w="1161"/>
        <w:gridCol w:w="211"/>
        <w:gridCol w:w="691"/>
        <w:gridCol w:w="109"/>
        <w:gridCol w:w="109"/>
        <w:gridCol w:w="109"/>
        <w:gridCol w:w="109"/>
        <w:gridCol w:w="211"/>
        <w:gridCol w:w="721"/>
        <w:gridCol w:w="109"/>
        <w:gridCol w:w="109"/>
        <w:gridCol w:w="109"/>
        <w:gridCol w:w="109"/>
        <w:gridCol w:w="211"/>
        <w:gridCol w:w="826"/>
        <w:gridCol w:w="109"/>
        <w:gridCol w:w="109"/>
        <w:gridCol w:w="109"/>
        <w:gridCol w:w="109"/>
        <w:gridCol w:w="211"/>
        <w:gridCol w:w="79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Imdusiran clinical development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AB-101-001 clinical development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w:t>
            </w:r>
            <w:r>
              <w:rPr>
                <w:color w:val="000000"/>
              </w:rPr>
              <w:t xml:space="preserve"> </w:t>
            </w:r>
            <w:r>
              <w:rPr>
                <w:rFonts w:ascii="Times New Roman;serif" w:hAnsi="Times New Roman;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segment expense includes the change in the fair value of contingent consideration, non-cash interest expenses and foreign currency exchange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Restructuring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the Company implemented changes to focus its efforts on advancing the clinical development of imdusiran and AB-101. The decision was made to exit the Company’s corporate headquarters in Warminster, Pennsylvania, implement workforce reductions and discontinue in-house scientific research. The restructuring has resulted in a total workforce after reductions of 16 employees as of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 $0.2 million accrual for medical benefits and lease-related operating expenses included in accounts payable and accrued liabilities.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2025 and our unaudited condensed consolidated financial statements for the three and six months ended June 30, 2026. Our consolidated financial statements have been prepared in accordance with United States generally accepted accounting principles and are presented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REFERENCES TO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(Form 10-Q), the “Company,” “Arbutus,” “we,” “us,” and “our,” except where the context requires otherwise, refer to Arbutus Biopharma Corporation and its consolidated subsidiary.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strategy, future operations, preclinical studies, clinical trials, and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plans and expectations regarding our patent infringement lawsuits against Pfizer/BioNTech, and the expected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plans and expectations regarding Moderna’s limited appeal following the settlement of our patent infringement litigation, the noncontingent lump sum payment and the contingent lump sum payment included in our settlement with Moderna, and the expected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evaluation of a potential return of capital to our shareholders in connection with the settlement of our patent infringement lawsuits against Moderna, and the expected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plans and expectations regarding our patent infringement lawsuit against the United States, and the expected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the receipt, timing and amount of any dividend from Genevant;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for our product candidates to achieve their desired or anticipated outcomes;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expected cost, timing and results of our clinical and regulatory development plans and clinical trials, including interactions with regulatory authorities, the incorporation of regulatory feedback into our development programs and clinical collaborations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commercialization of a therapy for chronic hepatitis B infection, a disease of the liver caused by the hepatitis B virus;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aim to prevent complications of hepatitis B virus disease progression, to decrease hepatitis B virus burden by minimizing patient stigma and to address the need for finite and more efficacious hepatitis B virus treatments that further improve long-term outcomes and reduce associated healthcare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of our product candidates to improve upon the standard of care to treat hepatitis B infection and provide clinical benefits to hepatitis B patients;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obtaining necessary regulatory approvals;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obtaining adequate financing through a combination of financing activities and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expected returns and benefits from strategic alliances, licensing agreements, and development collaborations with third parties, and the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our technology licensed to third parties, and the timing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anticipated revenue and expense fluctuation and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the timing of announcing data from our ongoing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regarding our net cash burn;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 for how long we can fund our operations with our existing cash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well as other statements relating to our future operations, financial performance or financial condition, prospects or other future events. Forward-looking statements appear primarily in the sections of this Form 10-Q entitled “Part I, Item 1-Financial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(Unaudited),” and “Part I, 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2025 (the Form 10-K), and in particular the risks and uncertainties discussed under “Item 1A-Risk Factors” of this Form 10-Q and the Form 10-K. As a result, you should not place undue reliance on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protect and defend our intellectual property, which is the subject of our ongoing lawsuits against Pfizer Inc., BioNTech SE, and certain of their affiliates (collectively, Pfizer/BioNTech) for their use of our patented lipid nanoparticle (LNP) technology in their COVID-19 messenger ribonucleic acid interference (mRNA)-LNP vaccines and any other products that would infringe the asserted patents. The court issued a claim construction ruling in September 2025, which construed the disputed claim terms in a manner we generally consider to be favorable. The parties are awaiting further scheduling in the litigation. In July 2026, we, along with our exclusive licensee Genevant Sciences GmbH, filed three international lawsuits seeking to enforce patents protecting our LNP technology against Pfizer/BioNTech.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2026, we, along with Genevant Sciences GmbH and, solely for specified purposes, its parent company Genevant Sciences Ltd. (collectively, Genevant, a related party), entered into a settlement agreement (the Moderna Settlement Agreement) with Moderna, Inc. and ModernaTX, Inc. (together, Moderna) to resolve all patent infringement litigation and patent revocation proceedings involving Moderna and its affiliates pending in the United States and internationally (the Moderna LNP Litigation). Under the terms of the Moderna Settlement Agreement, Moderna made an aggregate $950.0 million noncontingent lump sum payment (the Noncontingent Settlement Payment) to us and Genevant on July 8, 2026. We received $178.4 million on July 8, 2026 as our share of the Noncontingent Settlement Payment, which included reimbursement of our litigation costs. In addition, Moderna is obligated to pay us and Genevant an additional aggregate contingent lump sum payment of $1.3 billion (the Contingent Settlement Payment) upon a ruling that is favorable to us and Genevant in a limited appeal related to 28 U.S.C. §1498 (§1498) that Moderna filed, as allowed under the Moderna Settlement Agreement (the Moderna §1498 Appeal). The Company owned approximately 16% of the outstanding common equity of Genevant as of June 30, 2026, and the Company anticipates the payment of a material dividend from Genevant in the third quarter of calendar year 2026. We are currently evaluating a return of capital to our shareholders in the third quarter of calendar year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2026, the U.S. Food and Drug Administration (FDA) granted Fast Track designation for imdusiran for the treatment of cHBV. The FDA’s Fast Track program is designed to facilitate the development and expedite the review of investigational therapies to treat serious conditions with unmet medical need.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we reached alignment with the FDA on the design and safety parameters of a proposed Phase 2b clinical trial evaluating imdusiran for the treatment of cHBV. We intend to incorporate the FDA’s feedback into a final Phase 2b protocol.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strategy is focused on maximizing opportunities for our cHBV development programs and, through our exclusive license with Genevant, our in-house developed LNP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LNP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2022 and April 2023, we filed patent infringement lawsuits in the United States against Moderna and Pfizer/BioNTech, respectively, and in March 2025 and July 2026, we filed international patent infringement lawsuits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technology, which has been licensed for various applications to many different third parties. Our and Genevant’s LNP technology relies on microscopic particles built from four carefully selected types of fat-like molecules to shelter and protect nucleic acid molecules, including ribonucleic acid (RNA) molecules like the mRNA utilized in COVID-19 mRNA-LNP vaccines. This technology enables the mRNA to travel through the human body to a target cell and through the target cell’s membrane, where it releases the mRNA. Without this crucial technology, the mRNA would quickly degrade in the body and be ineffective. We continue to protect and defend our intellectual property, which is the subject of our ongoing lawsuits against Pfizer/BioNTech for their use of our patented LNP technology in their COVID-19 mRNA-LNP vaccines and any other products that would infringe the asserted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cHBV programs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hepatitis B (HBV) strategy has been to develop a functional cure for patients with cHBV infection with imdusiran as a potential cornerstone in a combination therapy. Development to date has emphasized a combination of compounds that can suppress hepatitis B virus deoxyribonucleic acid (HBV DNA) replication, hepatitis B virus RNA (HBV RNA), and hepatitis B surface antigen (HBsAg) and other viral protein expression, as well as boost patients’ HBV-specific immune response, which together could address the most important elements to achieving a functional cure. Functional cure is defined as sustained HBsAg seroclearance and HBV DNA less than the lower limit of quantification (&lt;LLOQ) after 24 weeks off treatment, with or without anti-hepatitis B surface antibodies (anti-HBs). A functional cure for patients with cHBV could prevent complications of HBV disease progression, decrease HBV burden by minimizing patient stigma and address the need for finite and more efficacious HBV treatments that further improve long-term outcomes and reduce associated healthcare costs. Our current ongoing evaluation of our HBV strategy also includes analysis of imdusiran’s potential to suppress HBV DNA replication and HBV RNA and HBsAg expression, without any immunotherapeutics. We are also continuing to evaluate and refine potential Phase 2b clinical trial designs for imdusiran.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HBV product pipeline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Imdusiran (AB-729) is our proprietary, GalNAc-conjugated, subcutaneously-delivered RNAi therapeutic product candidate that suppresses all HBV antigens, including HBsAg, which is thought to be a key prerequisite to enable potentiation of a patient’s immune system to respond to HBV. Over 200 patients with cHBV infection have been dosed with imdusiran in Phase 1 and Phase 2a clinical trials. Clinical data generated thus far has shown imdusiran provides meaningful reductions in HBsAg and other viral proteins, HBV DNA and HBV RNA, and leads to functional cure in some patients, while being generally safe and well-tolerated. Benefits were observed in patients across all evaluated HBV genotypes (A to E). In the Phase 1 and Phase 2a clinical trials, eight patients achieved functional cure, off all treatment, in combination therapy that includes imdusiran, including two patients who did not receive any pegylated interferon alfa-2a (IFN) as part of the combination therapy. An additional 41 patients across our Phase 2a clinical trials were able to remain off nucleos(t)ide analogue (NA) therapy for at least 48 weeks after discontinuing NA therapy during their Phase 2a clinical trials. A total of 47% (49/105) of all Phase 2a patients achieved functional cure or remained off NA therapy after discontinuing NA therapy during their Phase 2a clinical trials. Of the 18 patients who are currently being followed long-term (which includes the eight functionally cured patients described above and 10 patients who discontinued and remained off NA therapy), one patient who discontinued NA therapy achieved functional cure during the long-term follow-up period, and 89% of the 18 patients continue to remain off NA therapy for between 93 and 146 weeks. Two of the original eight functionally cured patients seroreverted during long-term follow-up, but remain virally suppressed and off NA therapy. Furthermore, among an additional 11 patients with available data who discontinued NA therapy during their Phase 2a clinical trials, but were subsequently discontinued early from long-term follow-up, one patient achieved functional cure and two restarted NA therapy. To date, a total of 10 patients have achieved functional cure during our Phase 2a clinical trials and long-term follow-up.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AB-101 is our proprietary oral PD-L1 inhibitor that has the potential to activate patients’ HBV-specific immune response by inhibiting PD-L1. AB-101 has completed a Phase 1a/1b clinical trial (AB-101-001) evaluating the safety, tolerability, pharmacokinetics (PK), and pharmacodynamics (PD) of single- and multiple-ascending oral doses in healthy subjects and patients with cHBV infection. The data from healthy subjects in Parts 1 and 2 and cHBV patients in Part 3 of this clinical trial have shown that AB-101 was generally well-tolerated with evidence of high receptor occupancy in seven cHBV patients and HBsAg decline in two cHBV patients at the 30mg dose.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We believe that if we can lower HBsAg and other viral antigens and promote immunity, we may achieve sustained HBsAg seroclearance and HBV DNA &lt;LLOQ, potentially leading to a functional cure in patients with cHBV. Currently, patients with cHBV have limited treatment options - either NA therapy, which requires lifelong treatment, or a finite duration of IFN, which is poorly tolerated and has serious complications and side effects. We believe patients can see significant benefits with imdusiran even without functional cure if they are well enough to be able to discontinue NA therapy and maintain viral suppression.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Phase 2a clinical trials, eight patients with cHBV achieved functional cure following treatment with imdusiran and NA therapy in combination with either IFN or with low dose nivolumab plus an immunotherapeutic. Seven of those eight total patients who achieved functional cure with the 60mg dose of imdusiran had HBsAg levels less than 1000 IU/mL at baseline. According to the literature, patients with HBsAg levels &lt;1000 IU/mL represent a significant portion of the cHBV population.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date, six of those eight patients continue to sustain functional cure for periods ranging between 93 to 146 weeks, while two patients have seroreverted but remain virally suppressed and off NA therapy. In addition to the patients who achieved functional cure during their Phase 2a clinical trials, 41 more patients were able to remain off NA therapy for at least 48 weeks during their clinical trials after discontinuing NA therapy following treatment with imdusiran. In total, 47% (49/105) of all Phase 2a patients either achieved functional cure or remained off NA therapy after discontinuing NA therapy during their clinical trials following treatment with imdusiran. Of the 10 patients who were able to discontinue and remain off NA therapy for at least 48 weeks who are currently being followed long-term in our rollover study, one patient achieved functional cure during the long-term follow-up period, and a total of eight patients have continued to remain off NA therapy for periods ranging between 93 to 146 weeks. These results suggest that imdusiran has lasting durability in helping patients maintain viral suppression and may help patients achieve beneficial clinical outcomes years after completing finite imdusiran regimens.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imdusiran development program includes the following two Phase 2a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Imdusiran in combination with IFN, an approved immunomodulator, and ongoing standard-of-care NA therapy in patients with cHBV infection (IM-PROVE I). At the American Association for the Study of Liver Diseases (AASLD) – The Liver Meeting</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November 2024, we presented data from our IM-PROVE I Phase 2a clinical trial showing that six doses of imdusiran and 24 weeks of IFN added to ongoing NA therapy led to a functional cure rate of 50% (3/6) in hepatitis B e antigen (HBeAg) negative patients with baseline HBsAg levels less than 1000 IU/mL, and an overall functional cure rate of 25% (3/12). Additionally, three cHBV patients from other cohorts in the IM-PROVE I clinical trial achieved functional cure. Those patients who achieved functional cure also seroconverted. Furthermore, an additional 10 patients who did not achieve functional cure were able to remain off NA therapy for at least 48 weeks after discontinuing NA therapy following treatment with imdusiran. At the AASLD – The Liver Meeting in November 2025, we presented new analysis from our IM-PROVE I Phase 2a clinical trial showing beneficial clinical outcomes were observed across all evaluated HBV genotypes (A to D), even in genotypes described in literature as not responsive to IFN treatment. These data from the IM-PROVE I trial suggest that the combination of imdusiran, 24 weeks of IFN and NA therapy was generally safe and well-tolerated with beneficial clinical outcomes, and that imdusiran may enhance responsiveness to IFN in HBV genotypes that are poor responders to IFN.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Imdusiran in combination with VTP-300, Barinthus Biotherapeutics plc’s (Barinthus) HBV immunotherapeutic, and ongoing NA therapy in patients with cHBV infection, including a cohort with the addition of low dose nivolumab (Opdivo</w:t>
      </w:r>
      <w:r>
        <w:rPr>
          <w:rFonts w:ascii="Times New Roman;serif" w:hAnsi="Times New Roman;serif"/>
          <w:b w:val="false"/>
          <w:color w:val="000000"/>
          <w:sz w:val="13"/>
        </w:rPr>
        <w:t>®</w:t>
      </w:r>
      <w:r>
        <w:rPr>
          <w:rFonts w:ascii="Times New Roman;serif" w:hAnsi="Times New Roman;serif"/>
          <w:b w:val="false"/>
          <w:color w:val="000000"/>
          <w:sz w:val="20"/>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achieved functional cure. Furthermore, an additional 31 patients (including some HBeAg positive patients) who did not achieve functional cure were able to remain off NA therapy for at least 48 weeks after discontinuing NA therapy following treatment with imdusiran. These data from the IM-PROVE II trial suggest that the combination of imdusiran, VTP-300, NA therapy and low dose nivolumab was generally safe and well-tolerated with beneficial clinical outcomes.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pipeline consists of two product candidates that are designed to suppress HBV DNA and HBV RNA, reduce HBsAg and other viral antigens and/or boost HBV-specific immune responses, to allow cHBV patients to become and remain treatment-free, as follows: </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957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515100" cy="3695700"/>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explore pipeline opportunities in the form of potential strategic alliances, in order to accelerate the development of these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2026, the FDA granted Fast Track designation for imdusiran for the treatment of cHBV. The FDA’s Fast Track program is designed to facilitate the development and expedite the review of investigational therapies to treat serious conditions where the investigational therapy demonstrates the potential to address unmet medical need. A drug granted Fast Track designation may be eligible for several benefits, including earlier and more frequent meetings and communications with the FDA and the potential for rolling review of its application. If relevant criteria are met, investigational therapies that receive Fast Track designation may also qualify for Accelerated Approval or Priority Review of a Biologics License Application or New Drug Application.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we reached alignment with the FDA on the design and safety parameters of a proposed Phase 2b clinical trial evaluating imdusiran for the treatment of cHBV. We intend to incorporate the FDA’s feedback into a final Phase 2b protocol.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RNAi therapeutic (imdusiran, AB-729)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RNAi therapeutics represent a significant advancement in drug development. RNAi therapeutics utilize a natural pathway within cells to effectively silence genes by eliminating the disease-causing proteins that they code for. We are developing an RNAi therapeutic, imdusiran, that is designed to reduce HBV DNA, HBV RNA, HBsAg and other HBV antigen expression in people with cHBV infection. Reducing HBsAg in addition to other viral proteins and HBV DNA are widely believed to be key prerequisites to potentiate a patient’s effective immune response against the virus.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Imdusiran has the following advantages over other RNAi therapeutics in development for cHBV infection: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Targeted to hepatocytes using our proprietary covalently conjugated GalNAc delivery technology which provides highly efficient liver-targeted uptake and enables subcutaneous dosing.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Unique nucleotide sequence that is single trigger and targets all HBV transcripts including HBx from cccDNA and integrated HBV DNA.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Specific chemical modifications and unique asymmetric RNA structure that reduces off-target effects while maintaining/enhancing potency and providing durable liver exposure and in vivo therapeutic effect.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Delivered at a low dose and infrequently (4, 8 or 12 week intervals).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Immune activation properties with HBV-specific T-cell immune restoration and a decrease in exhausted T-cells in responder patients.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IM-PROVE I Phase 2a proof-of-concept clinical trial evaluating imdusiran in combination with IFN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completed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Our primary intent for this trial was to initially lower HBsAg and other viral proteins, HBV DNA and HBV RNA levels with imdusiran and then administer IFN as an immunomodulator to promote anti-HBV immune responses. Our belief in this trial was that if we can lower HBsAg, other viral proteins and HBV DNA levels and promote immune responses, we may achieve sustained HBsAg seroclearance and HBV DNA &lt;LLOQ, potentially leading to a functional cure. After patients received 24-weeks of dosing with imdusiran (60mg every 8 weeks, 4 doses) plus ongoing NA therapy, patients were randomized into one of four cohorts to receive a short course of IFN for either 12 or 24 weeks plus ongoing NA therapy, with or without up to two additional doses of imdusiran across an additional 16 week period. After completion of the assigned IFN treatment period, all patients remained on NA therapy for a 24-week follow-up period, and then discontinued NA treatment, provided they met protocol-defined NA therapy discontinuation criteria. Patients who discontinued NA therapy entered an intensive follow-up period for 48 weeks.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 key data from 12 patients in Cohort A1 of this Phase 2a clinical trial who received 6 doses of imdusiran, 24 weeks of IFN and ongoing NA therapy, as presented at the AASLD – The Liver Meeting in November 2024, include:</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50% (3/6) of patients with baseline HBsAg &lt;1000 IU/mL achieved functional cure.</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Overall, 25% (3/12) of patients achieved functional cure.</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Those patients who achieved functional cure also seroconverted with anti-HBs levels increasing as patients lost HBsAg.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seroclearance associated with transient HBV RNA elevations that were preceded by or coincided with increases in immunological markers. At the AASLD – The Liver Meeting in November 2025, we presented new analysis from our IM-PROVE I Phase 2a clinical trial showing beneficial clinical outcomes were observed across all evaluated HBV genotypes (A to 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 total of 10 patients in IM-PROVE I who did not achieve functional cure were still able to remain off NA therapy for at least 48 weeks after discontinuing NA therapy following treatment with imdusiran. Across all cohorts and all baseline HBsAg levels, 37% (16/43) of patients either achieved functional cure or remained off NA therapy for at least 48 weeks after discontinuing NA therapy following treatment with imdusiran at 60mg.</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data from the IM-PROVE I trial suggest that the combination of imdusiran and IFN was generally safe and well-tolerated. There were no serious adverse events related to imdusiran, IFN or NA therapy, and no adverse events leading to discontinuation. The most common imdusiran-related treatment emergent adverse events (TEAEs) were injection site bruising and transient alanine aminotransferase elevations, which occurred in association with decreasing HBsAg levels and/or markers of immune activation, and which returned to baseline values in all instances. The IFN-related TEAEs were consistent with the known safety profile of IFN.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IM-PROVE II Phase 2a proof-of-concept clinical trial evaluating imdusiran in combination with Barinthus’ VTP-300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a clinical collaboration agreement with Barinthus that we entered into in July 2021, we completed IM-PROVE II, a Phase 2a proof-of-concept clinical trial evaluating the safety, antiviral activity and immunogenicity of a combination treatment with Barinthus’ VTP-300, an HBV immunotherapeutic, administered after imdusiran in patients with cHBV infection. The initial trial design enrolled 40 NA-suppressed, HBeAg negative or positive, non-cirrhotic cHBV infected patients. Our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intent for this trial was to initially lower HBsAg and other viral proteins, HBV DNA and HBV RNA levels with imdusiran and then administer VTP-300 as an immunomodulator to promote anti-HBV immune responses.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were followed for an additional 24 to 48 weeks. Subsequently, we amended the IM-PROVE II clinical trial protocol to include another cohort that received imdusiran, VTP-300, NA therapy and low dose nivolumab, an approved PD-1 inhibitor in oncology.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were followed for an additional 24 to 48 weeks.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cohort that included low dose nivolumab was the best performing cohort in the IM-PROVE II clinical trial. At the AASLD – The Liver Meeting in November 2024, we presented data from this clinical trial showing that the addition of low dose nivolumab increased rates of HBsAg seroclearance in cHBV patients and that 23% (3/13) of patients who received the treatment regimen with low dose nivolumab achieved HBsAg seroclearance by week 48. At the EASL Congress in May 2025, we presented data showing that 25% (2/8) of patients with low dose nivolumab added to the treatment regimen and with baseline HBsAg&lt;1000 IU/mL achieved functional cure.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 total of 31 patients in IM-PROVE II who did not achieve functional cure were still able to remain off NA therapy for at least 48 weeks after discontinuing NA therapy following treatment with imdusiran at 60mg. A total of 53% (33/62) of patients either achieved functional cure or remained off NA therapy for at least 48 weeks after discontinuing NA therapy following treatment with imdusiran at 60mg, across all cohorts and all baseline HBsAg levels, and both HBeAg negative and positive patients. Treatment with imdusiran, VTP-300, NA therapy and low dose nivolumab in this clinical trial was generally safe and well-tolerated. There were no serious adverse events, immune-related adverse events, or discontinuations due to adverse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IM-PROVE II clinical trial was managed by us, subject to oversight by a joint development committee comprised of representatives from both companies. We and Barinthus retained full rights to our respective product candidates and split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The parties do not intend to undertake a larger Phase 2b with this combination treatment regimen.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AASLD - The Liver Meeting in November 2025, we presented cumulative data across all of our imdusiran clinical trials demonstrating that imdusiran was safe and well-tolerated at all tested repeat doses of 60mg or 90mg, and that beneficial clinical outcomes in our Phase 2a clinical trials were potentially linked to immune reawakening in patients.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Imdusiran Treatment Without Immunotherapeutic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single and multiple ascending dose Phase 1b clinical trial for imdusiran, we enrolled HBeAg negative and positive patients, as well as HBV DNA positive patients not on NA therapy. Across all arms, which included doses up to 180mg, 71% (44/62) of patients achieved HBsAg levels below 100 IU/mL, including 5% (3/62) of patients who achieved HBsAg seroclearance. Additionally, 56% (5/9) of patients who elected to discontinue NA therapy remained off NA therapy for at least three years after discontinuation. Furthermore, all patients in all imdusiran clinical trials showed significant early decreases in HBsAg levels, often observed after the first or second dose of imdusiran. In Group B of IM-PROVE II, after just 24 weeks of imdusiran dosing at just 60mg with only background NA therapy and no other combination agent, 37% (7/19) of patients were able to remain off NA therapy for at least 48 weeks after discontinuing NA therapy, including one patient who achieved HBsAg seroclearance. Based on the effect imdusiran alone appears to have on reducing HBsAg levels and suppressing HBV DNA and HBV RNA replication, we are also evaluating imdusiran as a treatment without any immunotherapeutic.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Oral PD-L1 Inhibitor (AB-101)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PD-L1 inhibitors complement our pipeline of agents and could potentially be an important part of a combination therapy for the treatment of HBV by activating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 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Phase 1a/1b clinical trial to evaluate safety, tolerability and PK/PD of AB-101 (AB-101-001)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AB-101-001 is a Phase 1a/1b clinical trial designed to investigate the safety, tolerability and PK/PD of single and multiple-ascending oral doses of AB-101 for up to 28 days in healthy subjects and patients with cHBV infection. The trial consisted of three parts starting with single ascending doses in healthy subjects, followed by multiple ascending doses in healthy subjects and culminating with multiple doses in patients with cHBV infection. Safety and PK/PD assessments were performed prior to dose escalation in all parts of the clinical trial.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 3 of this clinical trial evaluated repeat doses of AB-101 for 28 days in 20 patients with cHBV. At the EASL Congress in May 2025, we presented data showing that a single dose of 10mg of AB-101 for 28 days in cHBV patients was well tolerated with PD-L1 receptor occupancy similar to that seen in healthy subjects at this dose. At the AASLD - The Liver Meeting in November 2025, we presented a Poster of Distinction highlighting maximal PD-L1 receptor occupancy between 68-100% at the 30mg daily dose. Two patients experienced HBsAg declines of 86.4% and 98.8%, respectively. Treatment with AB-101 in Part 3 of this clinical trial was generally safe and well-tolerated. There were no serious adverse events related to AB-101 and no evidence of liver dysfunction.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Collaborations, Royalty Entitlements and Intellectual Property Litigation</w:t>
      </w:r>
    </w:p>
    <w:p>
      <w:pPr>
        <w:pStyle w:val="TextBody"/>
        <w:bidi w:val="0"/>
        <w:spacing w:before="0" w:after="0"/>
        <w:jc w:val="both"/>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with Qilu Pharmaceutical Co., Ltd. (Qilu)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HBV in China, Hong Kong, Macau and Taiwan (Greater China and Taiwan).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Qilu was responsible for all costs related to developing, obtaining regulatory approval for, and commercializing imdusiran for the treatment or prevention of HBV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we and Qilu mutually agreed to conclude our strategic partnership and terminate the Qilu License Agreement and related agreements, and we now once again hold global rights for imdusiran. As no obligations remained under the Qilu License Agreement, we recognized all previously deferred revenue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Alnylam Pharmaceuticals, Inc. (Alnylam) and Acuitas Therapeutics, Inc. (Acuitas)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2012, we entered into a license agreement with Alnylam that entitles Alnylam to develop and commercialize products with our LNP technology in exchange for milestone and royalty payments. We have two royalty entitlements to global net sales of ONPATTRO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(Patisiran) (ONPATTRO), an RNA interference therapeutic currently being sold by Alnylam. In addition, we are entitled to receive payments upon the achievement of contractual milestones related to Alnylam’s use of our proprietary LNP technology in other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June 30, 2026, an aggregate of $26.9 million of 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are receiving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Alnylam began using our proprietary LNP technology in a product candidate to treat hepatocellular carcinoma (HCC), underscoring the important role our LNP technology plays in the delivery of nucleic acids to the body.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Genevant Sciences, Ltd.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2018, we entered into an agreement with Roivant Sciences Ltd. (Roivant), our largest shareholder, to launch Genevant Sciences Ltd.,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Genevant receives proceeds from an action for infringement by any third parties of our intellectual property licensed to Genevant, we would be entitled to receive, after deduction of litigation costs, 20% of the proceeds received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approximately 16% of the outstanding common equity of Genevant and the carrying value of our investment in Genevant was zero. Our entitlement to receive future royalties or sublicensing revenue from Genevant was not impacted by the recapitalization.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Moderna Settlement Agreement, Moderna made an aggregate $950.0 million Noncontingent Settlement Payment to us and Genevant on July 8, 2026. We received $178.4 million on July 8, 2026 as our share of the Noncontingent Settlement Payment, which included reimbursement of our litigation costs. In addition, Moderna is obligated to make an additional Contingent Settlement Payment of up to an aggregate $1.3 billion to us and Genevant upon the occurrence of certain events related to the Moderna §1498 Appeal, but which may be subject to repayment. The Company anticipates the payment of a material dividend from Genevant in the third quarter of calendar year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we and Genevant entered into an agreement (the RSV Agreement) that provided that we would be entitled to any award of damages in, or proceeds from the settlement of, our patent litigation against Moderna that was specifically allocated to infringing acts related to Moderna’s vaccine for respiratory syncytial virus (mRESVIA) and, in the event there was no such specific allocation to mRESVIA, we and Genevant would discuss an appropriate allocation in good faith. The Moderna Settlement Agreement did not specifically allocate any settlement proceeds to infringing acts related to mRESVIA. On July 15, 2026, we and Genevant entered into an agreement to terminate the RSV Agreement (the RSV Termination Agreement). Pursuant to the RSV Termination Agreement, we received a termination fee of $1.0 million from Genevant on July 21, 2026, and all rights or obligations under the RSV Agreement were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we, along with Genevant, filed three international lawsuits seeking to enforce patents protecting our LNP technology against Pfizer/BioNTech and certain of their affiliates. We and Genevant are seeking monetary relief, as well as injunctions against Pfizer/BioNTech’s COVID-19 mRNA-LNP vaccines and any other products that would infringe the asserted patents.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three international lawsuits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Canada: Federal Court of Canada File No. T-3200-26, seeking a permanent injunction and damages or, if Arbutus and Genevant elect, an accounting of Pfizer/BioNTech’s profits, attributable to infringement of Canadian Patent No. 2,721,333</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Unified Patent Court (UPC): Case UPC-CFI-0002562/2026, seeking permanent injunctions, as well as monetary damages, which can include recovery of Pfizer/BioNTech’s unfair profits from infringement of EP 4 241 767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UPC: Case UPC-CFI-0002566/2026, seeking permanent injunctions, as well as monetary damages, which can include recovery of Pfizer/BioNTech’s unfair profits from infringement of EP 4 495 237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UPC actions seek relief for infringing activities by Pfizer/BioNTech and certain of their affiliates in Austria, Belgium, Bulgaria, Denmark, Estonia, Finland, France, Germany, Italy, Latvia, Lithuania, Luxembourg, Malta, the Netherlands, Poland, Portugal, Romania, Slovenia, Spain, and Sweden.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2026, we and Genevant entered into the Moderna Settlement Agreement with Moderna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was allowed to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Moderna Settlement Agreement, Moderna made an aggregate $950.0 million Noncontingent Settlement Payment to us and Genevant on July 8, 2026. We received $178.4 million on July 8, 2026 as our share of the Noncontingent Settlement Payment, which included reimbursement of our litigation costs.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as described in more detail in, and subject to the terms of, the Moderna Settlement Agreement, Moderna will make an additional Contingent Settlement Payment of an aggregate $1.3 billion to us and Genevant (i) if the Court of Appeals for the Federal Circuit (whether by the initial panel, upon panel rehearing or </w:t>
      </w:r>
      <w:r>
        <w:rPr>
          <w:rFonts w:ascii="Times New Roman;serif" w:hAnsi="Times New Roman;serif"/>
          <w:b w:val="false"/>
          <w:i/>
          <w:color w:val="000000"/>
          <w:sz w:val="20"/>
        </w:rPr>
        <w:t>en banc</w:t>
      </w:r>
      <w:r>
        <w:rPr>
          <w:rFonts w:ascii="Times New Roman;serif" w:hAnsi="Times New Roman;serif"/>
          <w:b w:val="false"/>
          <w:color w:val="000000"/>
          <w:sz w:val="20"/>
        </w:rPr>
        <w:t>) affirms, or if there is a final non-appealable 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Moderna Settlement Agreement includes mutual financial covenants to protect the payment or repayment of the Contingent Settlement Payment, as described above.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Moderna and Merck European Oppositions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2018, Moderna and Merck, Sharp &amp; Dohme Corporation (together with its successors and affiliates, Merck) filed Notices of Opposition to our European patent EP 2279254 (the ’254 Patent) with the European Patent Office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We are awaiting a written decision from the Board of Appeal of the EPO regarding the revocation.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In May 2026, we entered into an agreement with Merck (the Merck Agreement) where we, among other things, acknowledged that the Moderna Settlement Agreement covered a vaccine being jointly developed by Moderna and Merck and we agreed not to sue Merck regarding such vaccine, in exchange for Merck withdrawing from the revocation proceeding. On May 6, 2026, Merck withdrew from this revocation proceeding. We do not expect the EPO revocation decision to have an impact on the potential outcome, or timing, of our patent infringement litigation pending against Pfizer/BioNTech.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April 29, 2025, Moderna filed a revocation action on our European patent EP 4241767 (the ’767 patent) with the EPO, requesting that the patent be revoked in its entirety for all contracting states. In July 2025, Merck, Arrowhouse GmbH and Keltie LLP filed three additional revocation actions against the ’767 patent. Initial briefing has been completed and we are currently awaiting an initial hearing date. In March 2026, pursuant to the Moderna Settlement Agreement, Moderna withdrew from this revocation proceeding. On May 6, 2026, pursuant to the Merck Agreement, Merck withdrew from this revocation proceeding.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While we are the patent owner, the ’254 Patent, the ’767 Patent, and the other patents in our LNP portfolio have been licensed to Genevant under the Genevant License.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Potential Additional Payments Related to the Acquisition of Enantigen Therapeutics,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stock purchase agreement, and a low single-digit royalty on net sales of such first commercialized HBV product, up to a maximum royalty payment of $1.0 million that, if paid, would be offset against our performance milestone payment obligations.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Please refer to Note 2 to our condensed consolidated financial statements included in “Part I, Item 1-Financial Statements (Unaudited)” of this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results of our operations for the periods shown:</w:t>
      </w:r>
    </w:p>
    <w:tbl>
      <w:tblPr>
        <w:tblW w:w="7920" w:type="dxa"/>
        <w:jc w:val="center"/>
        <w:tblInd w:w="0" w:type="dxa"/>
        <w:tblLayout w:type="fixed"/>
        <w:tblCellMar>
          <w:top w:w="28" w:type="dxa"/>
          <w:left w:w="28" w:type="dxa"/>
          <w:bottom w:w="28" w:type="dxa"/>
          <w:right w:w="28" w:type="dxa"/>
        </w:tblCellMar>
      </w:tblPr>
      <w:tblGrid>
        <w:gridCol w:w="933"/>
        <w:gridCol w:w="821"/>
        <w:gridCol w:w="826"/>
        <w:gridCol w:w="211"/>
        <w:gridCol w:w="691"/>
        <w:gridCol w:w="109"/>
        <w:gridCol w:w="109"/>
        <w:gridCol w:w="109"/>
        <w:gridCol w:w="109"/>
        <w:gridCol w:w="211"/>
        <w:gridCol w:w="721"/>
        <w:gridCol w:w="109"/>
        <w:gridCol w:w="109"/>
        <w:gridCol w:w="109"/>
        <w:gridCol w:w="109"/>
        <w:gridCol w:w="211"/>
        <w:gridCol w:w="826"/>
        <w:gridCol w:w="109"/>
        <w:gridCol w:w="109"/>
        <w:gridCol w:w="109"/>
        <w:gridCol w:w="109"/>
        <w:gridCol w:w="211"/>
        <w:gridCol w:w="79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erif" w:hAnsi="Times New Roman;serif"/>
          <w:b/>
          <w:color w:val="000000"/>
          <w:sz w:val="20"/>
        </w:rPr>
        <w:t>Revenue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summarized in the following tables: </w:t>
      </w:r>
    </w:p>
    <w:tbl>
      <w:tblPr>
        <w:tblW w:w="8461"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55"/>
        <w:gridCol w:w="211"/>
        <w:gridCol w:w="501"/>
        <w:gridCol w:w="109"/>
        <w:gridCol w:w="109"/>
        <w:gridCol w:w="109"/>
        <w:gridCol w:w="211"/>
        <w:gridCol w:w="721"/>
        <w:gridCol w:w="109"/>
        <w:gridCol w:w="109"/>
        <w:gridCol w:w="109"/>
        <w:gridCol w:w="109"/>
        <w:gridCol w:w="246"/>
        <w:gridCol w:w="220"/>
        <w:gridCol w:w="561"/>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collaborations and licenses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Acuitas Therapeutics,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 from Genevant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Alnylam Pharmaceuticals, Inc.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71" w:type="dxa"/>
        <w:jc w:val="left"/>
        <w:tblInd w:w="0" w:type="dxa"/>
        <w:tblLayout w:type="fixed"/>
        <w:tblCellMar>
          <w:top w:w="28" w:type="dxa"/>
          <w:left w:w="28" w:type="dxa"/>
          <w:bottom w:w="28" w:type="dxa"/>
          <w:right w:w="28" w:type="dxa"/>
        </w:tblCellMar>
      </w:tblPr>
      <w:tblGrid>
        <w:gridCol w:w="1272"/>
        <w:gridCol w:w="1117"/>
        <w:gridCol w:w="1120"/>
        <w:gridCol w:w="211"/>
        <w:gridCol w:w="826"/>
        <w:gridCol w:w="109"/>
        <w:gridCol w:w="109"/>
        <w:gridCol w:w="109"/>
        <w:gridCol w:w="109"/>
        <w:gridCol w:w="233"/>
        <w:gridCol w:w="233"/>
        <w:gridCol w:w="501"/>
        <w:gridCol w:w="109"/>
        <w:gridCol w:w="109"/>
        <w:gridCol w:w="109"/>
        <w:gridCol w:w="211"/>
        <w:gridCol w:w="721"/>
        <w:gridCol w:w="109"/>
        <w:gridCol w:w="109"/>
        <w:gridCol w:w="109"/>
        <w:gridCol w:w="109"/>
        <w:gridCol w:w="246"/>
        <w:gridCol w:w="220"/>
        <w:gridCol w:w="561"/>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collaborations and licenses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Acuitas Therapeutics,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Qilu Pharmaceutical Co., Ltd.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 from Genevant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Alnylam Pharmaceuticals, Inc.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$9.7 million for the three months ended June 30, 2026 compared to the same period in 2025, due primarily to recognizing all $9.6 million of previously deferred revenue upon the conclusion of our strategic partnership with Qilu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 increased $167.6 million for the six months ended June 30, 2026 compared to the same period in 2025, primarily due to recognizing revenue of $178.4 million for our share of the Noncontingent Settlement Payment in 2026, partially offset by recognizing all $9.6 million of previously deferred revenue upon the conclusion of our strategic partnership with Qilu in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erif" w:hAnsi="Times New Roman;serif"/>
          <w:b/>
          <w:color w:val="000000"/>
          <w:sz w:val="20"/>
        </w:rPr>
        <w:t>Operating expenses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are summarized in the following tables:</w:t>
      </w:r>
    </w:p>
    <w:tbl>
      <w:tblPr>
        <w:tblW w:w="8911" w:type="dxa"/>
        <w:jc w:val="left"/>
        <w:tblInd w:w="0" w:type="dxa"/>
        <w:tblLayout w:type="fixed"/>
        <w:tblCellMar>
          <w:top w:w="28" w:type="dxa"/>
          <w:left w:w="28" w:type="dxa"/>
          <w:bottom w:w="28" w:type="dxa"/>
          <w:right w:w="28" w:type="dxa"/>
        </w:tblCellMar>
      </w:tblPr>
      <w:tblGrid>
        <w:gridCol w:w="1473"/>
        <w:gridCol w:w="1292"/>
        <w:gridCol w:w="1299"/>
        <w:gridCol w:w="211"/>
        <w:gridCol w:w="616"/>
        <w:gridCol w:w="109"/>
        <w:gridCol w:w="109"/>
        <w:gridCol w:w="109"/>
        <w:gridCol w:w="109"/>
        <w:gridCol w:w="255"/>
        <w:gridCol w:w="211"/>
        <w:gridCol w:w="501"/>
        <w:gridCol w:w="109"/>
        <w:gridCol w:w="109"/>
        <w:gridCol w:w="109"/>
        <w:gridCol w:w="211"/>
        <w:gridCol w:w="616"/>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5"/>
        <w:gridCol w:w="211"/>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personnel expenses, fees paid to clinical research organizations and contract manufacturers, consumables and materials, consulting, and other third-party expenses to support our clinical and preclinical activities, as well as a portion of stock-based compensation and general overhead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$2.6 million and $7.4 million for the three and six months ended June 30, 2026, respectively, compared to the same periods in 2025. The decreases were due primarily to cost savings from our decisions to reduce our workforce and discontinue in-house scientific research, as well as lower clinical trial costs as studies neared completion.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research and development expenses are not tracked by project as they benefit multiple projects or our technology platform and because our most-advanced programs are not yet in late-stage clinical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$0.5 million for each of the three and six months ended June 30, 2026 as compared to the same periods in 2025, due primarily to an increase in litigation-related legal fees driven by the settlement with Moderna, partially offset by cost-cutting efforts by the Company, which drove reductions in employee compensation-related expenses.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gets closer to triggering contingent payments based on certain sales milestones of our first commercial product for cHBV. As imdusiran continues to progress through clinical trials, we will adjust our assumptions regarding probability of success commensurate with the progression of the program, which will increase the fair value of the liability.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our Board took action to reduce our workforce by 57%. The Board also decided to exit our corporate headquarters in Warminster, Pennsylvania and to discontinue in-house scientific research. In connection with these actions, we incurred a one-time restructuring charge in the first half of 2025 of $12.5 million, which includes approximately $6.1 million of cash severance and continued benefits paid, $2.4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our corporate headquarters and a $0.4 million accrual of lease-related operating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an aggregate of $0.2 million of accrued restructuring costs for medical benefits and lease-related operating expenses included in accounts payable and accrued liabilities.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our other income (loss) are summarized in the following table:</w:t>
      </w:r>
    </w:p>
    <w:tbl>
      <w:tblPr>
        <w:tblW w:w="7293" w:type="dxa"/>
        <w:jc w:val="left"/>
        <w:tblInd w:w="0" w:type="dxa"/>
        <w:tblLayout w:type="fixed"/>
        <w:tblCellMar>
          <w:top w:w="28" w:type="dxa"/>
          <w:left w:w="28" w:type="dxa"/>
          <w:bottom w:w="28" w:type="dxa"/>
          <w:right w:w="28" w:type="dxa"/>
        </w:tblCellMar>
      </w:tblPr>
      <w:tblGrid>
        <w:gridCol w:w="891"/>
        <w:gridCol w:w="781"/>
        <w:gridCol w:w="788"/>
        <w:gridCol w:w="233"/>
        <w:gridCol w:w="515"/>
        <w:gridCol w:w="120"/>
        <w:gridCol w:w="120"/>
        <w:gridCol w:w="120"/>
        <w:gridCol w:w="120"/>
        <w:gridCol w:w="233"/>
        <w:gridCol w:w="681"/>
        <w:gridCol w:w="120"/>
        <w:gridCol w:w="109"/>
        <w:gridCol w:w="109"/>
        <w:gridCol w:w="109"/>
        <w:gridCol w:w="211"/>
        <w:gridCol w:w="616"/>
        <w:gridCol w:w="109"/>
        <w:gridCol w:w="109"/>
        <w:gridCol w:w="109"/>
        <w:gridCol w:w="109"/>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for the three and six months ended June 30, 2026 compared to the same periods in 2025 was due primarily to less interest earned on our cash and investment balances due to a lower average balance and a general decrease in market interest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and six months ended June 30, 2026 and 2025 consisted primarily of non-cash amortization of discount and issuance costs related to the sale of a portion of our ONPATTRO royalty interest to OMERS in July 2019. The decrease is related to the declining balance of the unamortized discount and issuance costs.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 for the periods indicated:</w:t>
      </w:r>
    </w:p>
    <w:tbl>
      <w:tblPr>
        <w:tblW w:w="8349" w:type="dxa"/>
        <w:jc w:val="left"/>
        <w:tblInd w:w="0" w:type="dxa"/>
        <w:tblLayout w:type="fixed"/>
        <w:tblCellMar>
          <w:top w:w="28" w:type="dxa"/>
          <w:left w:w="28" w:type="dxa"/>
          <w:bottom w:w="28" w:type="dxa"/>
          <w:right w:w="28" w:type="dxa"/>
        </w:tblCellMar>
      </w:tblPr>
      <w:tblGrid>
        <w:gridCol w:w="2070"/>
        <w:gridCol w:w="1814"/>
        <w:gridCol w:w="1831"/>
        <w:gridCol w:w="211"/>
        <w:gridCol w:w="826"/>
        <w:gridCol w:w="109"/>
        <w:gridCol w:w="109"/>
        <w:gridCol w:w="109"/>
        <w:gridCol w:w="109"/>
        <w:gridCol w:w="211"/>
        <w:gridCol w:w="796"/>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Genevant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operating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$14.1 million of cash was used in operating activities compared to $29.1 million used in operating activities for the six months ended June 30, 2025, a decrease of $15.0 million. The decrease was due primarily to our decisions to decrease our workforce and further streamline the organization to focus our efforts on advancing the clinical development of imdusiran and AB-101.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investing activities was $0.5 million, resulting primarily from maturities of investments in marketable securities of $38.0 million, partially offset by additional investments in marketable securities of $37.5 million. For the six months ended June 30, 2025, net cash provided by investing activities was $27.0 million, which resulted primarily from maturities of investments in marketable securities of $90.2 million, partially offset by additional investments in marketable securities of $63.2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financing activities was $14.8 million, which was primarily related to $14.7 million in proceeds from the issuance of common shares pursuant to the exercise of stock options. For the six months ended June 30, 2025, net cash provided by financing activities was $3.2 million, which included $3.1 million in proceeds from the issuance of common shares pursuant to the exercise of stock options.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investments in marketable securities of $92.6 million. We had no outstanding debt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Noncontingent Settlement Payment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8, 2026, we received $178.4 million as our share of the Noncontingent Settlement Payment, which included reimbursement of our litigation costs.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June 30, 2026, we have recorded an aggregate of $26.9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 In addition, we are entitled to receive payments upon the achievement of contractual milestones related to Alnylam’s use of our proprietary LNP technology in other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we entered into a technology transfer and exclusive license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 In June 2025, we and Qilu mutually agreed to conclude our strategic partnership, and we now once again hold global rights for imdusiran.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 organizational changes announced during the first quarter of 2025, and our ongoing cost management efforts, we expect to maintain our reduced net cash burn in 2026. In the future, substantial additional funds would be required to continue with the active development of our pipeline products and technologies. In particular, our funding needs may vary depending on a number of factors including:</w:t>
      </w:r>
    </w:p>
    <w:p>
      <w:pPr>
        <w:pStyle w:val="TextBody"/>
        <w:bidi w:val="0"/>
        <w:spacing w:before="0" w:after="0"/>
        <w:ind w:left="0" w:right="0" w:hanging="540"/>
        <w:jc w:val="both"/>
        <w:rPr/>
      </w:pPr>
      <w:r>
        <w:rPr/>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costs associated with prosecuting and enforcing our patent claims and other intellectual property rights, including our ongoing patent infringement matter against Pfizer/BioNTech, the Moderna §1498 Appeal, and our lawsuit against the United States;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a potential return of capital to our shareholders in connection with proceeds from the Moderna Settlement Agreement;</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revenue earned from our legacy collaborative partnerships and licensing agreements, including potential royalty payments from Alnylam’s ONPATTRO;</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revenue earned from ongoing collaborative partnerships, including milestone and royalty payments;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potential requirement to make milestone payments related to our legacy agreements;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extent to which we continue the development of our product candidates, add new product candidates to our pipeline, or form collaborative relationships or licensing arrangements to advance our product candidates;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delays in the development of our product candidates due to preclinical and clinical findings;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our decisions to in-license or acquire additional products, product candidates or technology for development;</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our ability to attract and retain development or commercialization partners, and their effectiveness in carrying out the development and ultimate commercialization of one or more of our product candidates;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whether batches of product candidates that we manufacture fail to meet specifications resulting in clinical trial delays and investigational and remanufacturing costs;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decisions, and the timing of decisions, made by health regulatory agencies regarding our technology and product candidates; and</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competing products, product candidates and technological and market developments.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under this item is not required to be provided by smaller reporting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4.    </w:t>
      </w:r>
      <w:r>
        <w:rPr>
          <w:color w:val="000000"/>
        </w:rPr>
        <w:t xml:space="preserve">  </w:t>
      </w:r>
      <w:r>
        <w:rPr>
          <w:rFonts w:ascii="Times New Roman;serif" w:hAnsi="Times New Roman;serif"/>
          <w:b/>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we, along with Genevant, filed three international lawsuits seeking to enforce patents protecting our LNP technology against Pfizer/BioNTech and certain of their affiliates. We and Genevant are seeking monetary relief, as well as injunctions against Pfizer/BioNTech’s COVID-19 mRNA-LNP vaccines and any other products that would infringe the asserted patents.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three international lawsuits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Canada: Federal Court of Canada File No. T-3200-26, seeking a permanent injunction and damages or, if Arbutus and Genevant elect, an accounting of Pfizer/BioNTech’s profits, attributable to infringement of Canadian Patent No. 2,721,333</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Unified Patent Court (UPC): Case UPC-CFI-0002562/2026, seeking permanent injunctions, as well as monetary damages, which can include recovery of Pfizer/BioNTech’s unfair profits from infringement of EP 4 241 767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UPC: Case UPC-CFI-0002566/2026, seeking permanent injunctions, as well as monetary damages, which can include recovery of Pfizer/BioNTech’s unfair profits from infringement of EP 4 495 237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UPC actions seek relief for infringing activities by Pfizer/BioNTech and certain of their affiliates in Austria, Belgium, Bulgaria, Denmark, Estonia, Finland, France, Germany, Italy, Latvia, Lithuania, Luxembourg, Malta, the Netherlands, Poland, Portugal, Romania, Slovenia, Spain, and Sweden.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2026, we and Genevant entered into the Moderna Settlement Agreement with Moderna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was allowed to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Moderna Settlement Agreement, Moderna made an aggregate $950.0 million Noncontingent Settlement Payment to us and Genevant on July 8, 2026. We received $178.4 million on July 8, 2026 as our share of the Noncontingent Settlement Payment, which included reimbursement of our litigation costs.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as described in more detail in, and subject to the terms of, the Moderna Settlement Agreement, Moderna will make an additional Contingent Settlement Payment of an aggregate $1.3 billion to us and Genevant (i) if the Court of Appeals for the Federal Circuit (whether by the initial panel, upon panel rehearing or </w:t>
      </w:r>
      <w:r>
        <w:rPr>
          <w:rFonts w:ascii="Times New Roman;serif" w:hAnsi="Times New Roman;serif"/>
          <w:b w:val="false"/>
          <w:i/>
          <w:color w:val="000000"/>
          <w:sz w:val="20"/>
        </w:rPr>
        <w:t>en banc</w:t>
      </w:r>
      <w:r>
        <w:rPr>
          <w:rFonts w:ascii="Times New Roman;serif" w:hAnsi="Times New Roman;serif"/>
          <w:b w:val="false"/>
          <w:color w:val="000000"/>
          <w:sz w:val="20"/>
        </w:rPr>
        <w:t xml:space="preserve">) affirms, or if there is a final non-appealable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283"/>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Moderna Settlement Agreement includes mutual financial covenants to protect the payment or repayment of the Contingent Settlement Payment, as described above.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Moderna and Merck European Oppositions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2018, Moderna and Merck, Sharp &amp; Dohme Corporation (together with its successors and affiliates, Merck) filed Notices of Opposition to our European patent EP 2279254 (the ’254 Patent) with the European Patent Office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We are awaiting a written decision from the Board of Appeal of the EPO regarding the revocation.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In May 2026, we entered into an agreement with Merck (the Merck Agreement) where we, among other things, acknowledged that the Moderna Settlement Agreement covered a vaccine being jointly developed by Moderna and Merck and we agreed not to sue Merck regarding such vaccine, in exchange for Merck withdrawing from the revocation proceeding. On May 6, 2026, Merck withdrew from this revocation proceeding. We do not expect the EPO revocation decision to have an impact on the potential outcome, or timing, of our patent infringement litigation pending against Pfizer/BioNTech.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April 29, 2025, Moderna filed a revocation action on our European patent EP 4241767 (the ’767 patent) with the EPO, requesting that the patent be revoked in its entirety for all contracting states. In July 2025, Merck, Arrowhouse GmbH and Keltie LLP filed three additional revocation actions against the ’767 patent. Initial briefing has been completed and we are currently awaiting an initial hearing date. In March 2026, pursuant to the Moderna Settlement Agreement, Moderna withdrew from this revocation proceeding. On May 6, 2026, pursuant to the Merck Agreement, Merck withdrew from this revocation proceeding.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83260"/>
                <wp:effectExtent l="0" t="0" r="0" b="0"/>
                <wp:wrapNone/>
                <wp:docPr id="42" name="Frame4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While we are the patent owner, the ’254 Patent, the ’767 Patent, and the other patents in our LNP portfolio have been licensed to Genevant under the Genevant License.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risk factors from those disclosed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Trading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modified or terminated a “Rule 10b5-1 trading arrangement” or a “non-Rule 10b5-1 trading arrangement” as such terms are defined under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83260"/>
                <wp:effectExtent l="0" t="0" r="0" b="0"/>
                <wp:wrapNone/>
                <wp:docPr id="43" name="Frame4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54"/>
        <w:gridCol w:w="2605"/>
        <w:gridCol w:w="370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Notice of Articles and Articles of the Company, as amended (incorporated herein by reference to Exhibit 3.1 to the Registrant’s Annual Report on Form 10-K for the year ended December 31, 2017, filed with the SEC on March 16,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Amendment to Articles of the Company (incorporated herein by reference to Exhibit 3.1 to the Registrant’s Quarterly Report on Form 10-Q for the quarter ended September 30, 2018, filed with the SEC on November 7,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Arbutus Biopharma Corporation 2026 Omnibus Share and Incentive Plan (incorporated herein by reference to Exhibit 10.1 to the Registrant’s Current Report on Form 8-K, filed with the SEC on May 27,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ptionagreement.htm">
              <w:r>
                <w:rPr>
                  <w:rStyle w:val="InternetLink"/>
                  <w:rFonts w:ascii="Times New Roman;serif" w:hAnsi="Times New Roman;serif"/>
                  <w:b w:val="false"/>
                  <w:color w:val="0000FF"/>
                  <w:sz w:val="20"/>
                  <w:u w:val="single"/>
                </w:rPr>
                <w:t>Forms of Arbutus Biopharma Corporation Option Agreement for the 2026 Omnibus Share and Incentive Plan.</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suagreement.htm">
              <w:r>
                <w:rPr>
                  <w:rStyle w:val="InternetLink"/>
                  <w:rFonts w:ascii="Times New Roman;serif" w:hAnsi="Times New Roman;serif"/>
                  <w:b w:val="false"/>
                  <w:color w:val="0000FF"/>
                  <w:sz w:val="20"/>
                  <w:u w:val="single"/>
                </w:rPr>
                <w:t>Forms of Arbutus Biopharma Corporation Restricted Stock Agreement for the 2026 Omnibus Share and Incentive Plan.</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xqex311.htm">
              <w:r>
                <w:rPr>
                  <w:rStyle w:val="InternetLink"/>
                  <w:rFonts w:ascii="Times New Roman;serif" w:hAnsi="Times New Roman;serif"/>
                  <w:b w:val="false"/>
                  <w:color w:val="0000FF"/>
                  <w:sz w:val="20"/>
                  <w:u w:val="single"/>
                </w:rPr>
                <w:t>Certification of Principal Executive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xqex312.htm">
              <w:r>
                <w:rPr>
                  <w:rStyle w:val="InternetLink"/>
                  <w:rFonts w:ascii="Times New Roman;serif" w:hAnsi="Times New Roman;serif"/>
                  <w:b w:val="false"/>
                  <w:color w:val="0000FF"/>
                  <w:sz w:val="20"/>
                  <w:u w:val="single"/>
                </w:rPr>
                <w:t>Certification of Principal Financial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x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x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materials from Arbutus Biopharma Corporation’s Quarterly Report on Form 10-Q for the quarter ended June 30, 2026, formatted in inline XBRL (eXtensible Business Reporting Language):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160" w:after="283"/>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27355"/>
                <wp:effectExtent l="0" t="0" r="0" b="0"/>
                <wp:wrapNone/>
                <wp:docPr id="44" name="Frame43"/>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60" w:after="283"/>
        <w:jc w:val="center"/>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495"/>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August 12, 2026.</w:t>
      </w:r>
    </w:p>
    <w:p>
      <w:pPr>
        <w:pStyle w:val="TextBody"/>
        <w:bidi w:val="0"/>
        <w:spacing w:before="160" w:after="283"/>
        <w:ind w:left="0" w:right="0" w:firstLine="495"/>
        <w:jc w:val="both"/>
        <w:rPr/>
      </w:pPr>
      <w:r>
        <w:rPr/>
      </w:r>
    </w:p>
    <w:tbl>
      <w:tblPr>
        <w:tblW w:w="7437" w:type="dxa"/>
        <w:jc w:val="left"/>
        <w:tblInd w:w="0" w:type="dxa"/>
        <w:tblLayout w:type="fixed"/>
        <w:tblCellMar>
          <w:top w:w="28" w:type="dxa"/>
          <w:left w:w="28" w:type="dxa"/>
          <w:bottom w:w="28" w:type="dxa"/>
          <w:right w:w="28" w:type="dxa"/>
        </w:tblCellMar>
      </w:tblPr>
      <w:tblGrid>
        <w:gridCol w:w="124"/>
        <w:gridCol w:w="109"/>
        <w:gridCol w:w="109"/>
        <w:gridCol w:w="595"/>
        <w:gridCol w:w="595"/>
        <w:gridCol w:w="595"/>
        <w:gridCol w:w="1550"/>
        <w:gridCol w:w="1550"/>
        <w:gridCol w:w="2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ARBUTUS BIOPHARMA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ind w:left="0" w:right="0" w:firstLine="495"/>
        <w:jc w:val="center"/>
        <w:rPr/>
      </w:pPr>
      <w:bookmarkStart w:id="1" w:name="optionagreement.htm"/>
      <w:bookmarkStart w:id="2" w:name="ksoptionagreement"/>
      <w:bookmarkEnd w:id="1"/>
      <w:bookmarkEnd w:id="2"/>
      <w:r>
        <w:rPr/>
        <w:drawing>
          <wp:inline distT="0" distB="0" distL="0" distR="0">
            <wp:extent cx="10048875" cy="1300162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83260"/>
                <wp:effectExtent l="0" t="0" r="0" b="0"/>
                <wp:wrapNone/>
                <wp:docPr id="46" name="Frame4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120" w:after="283"/>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ARBUTUS BIOPHARMA CORPORATION 2026 OMNIBUS SHARE AND INCENTIVE PLAN INCENTIVE STOCK OPTION AGREEMENT COVER SHEET Arbutus Biopharma Corporation, a company incorporated under the laws of the Province of British Columbia (the “Company”), hereby grants an option (the “Option”) to purchase the Company’s common shares, without par value (the “Common Shares”), to the Grantee named below, subject to the vesting and other conditions set forth below. Additional terms and conditions of the Option are set forth in this cover sheet and in the attached Incentive Stock Option Agreement (together, the “Agreement”) and in the Arbutus Biopharma Corporation 2026 Omnibus Share and Incentive Plan (as it has been or may be amended and/or restated from time to time, the “Plan”). Name of Grantee: [●] Grant Date: [●] Number of Common Shares Covered by the Option: [●] Option Price per Common Share: [●] Vesting Commencement Date: [●] Vesting Schedule: The Option shall vest as follows: one third to vest on [INSERT DATE]; one third to vest on [INSERT DATE] and one third to vest on [INSERT DATE], while the Grantee remains an eligible Service Provider, and will be exercisable in whole up to the expiration of the Option or such earlier date as may be required or stipulated in accordance with the Plan or the terms of this Agreement; the Option, once vested, shall remain vested until the expiration, termination or surrender of the Option. By your electronic acknowledgement of this Agreement, you agree to all of the terms and conditions described in the Agreement and in the Plan (a copy of which has been made available to you and will be provided on request). You acknowledge that you have carefully reviewed the Plan and agree that the Plan shall control in the event any provision of this Agreement should appear to be inconsistent with the Plan. Grantee: Date: (Signature) Company: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This is not a share certificate or a negotiable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ARBUTUS BIOPHARMA CORPORATION 2026 OMNIBUS SHARE AND INCENTIVE PLAN INCENTIVE STOCK OPTION AGREEMENT Incentive Stock Option This Agreement evidences an award of an Option exercisable for the number of Common Shares set forth on the cover sheet and subject to the terms and conditions set forth in this Agreement and the Plan. This Option is intended to be an incentive stock option under Code Section 422 and will be interpreted accordingly, provided, that, the Company makes no representation or guarantee that the Option will qualify as an Incentive Stock Option. To the extent that all or part of this Option exceeds the “$100,000 per year limitation” rule of Code Section 422(d), this Option or the lesser excess part will be deemed to be a Nonqualified Stock Option. Vesting Your Option is exercisable only before it expires and then only with respect to the vested portion of the Option. Your Option shall vest in accordance with the vesting schedule set forth on the cover sheet of this Agreement. To the extent that vesting could result in any fractional shares, resulting fractional shares will be rounded to the nearest whole Common Share and shall be rounded down as necessary as of the last applicable vesting date; provided, in all cases, you cannot vest in more than the number of Common Shares covered by your Option, as set forth on the cover sheet of this Agreement. Leaves of Absence For purposes of this Agreement, your Service does not terminate when you go on a bona fide leave of absence that was approved by the Company in writing if the terms of the leave provide for continued Service crediting, or when continued Service crediting is required by Applicable Laws. However, in all other cases, your Service will be treated as terminating ninety (90) days after you went on employee leave, unless your right to return to active work is guaranteed by law or by a contract. Your Service terminates in any event when the approved leave ends unless you immediately return to active employee work. The Company may determine, in its discretion, which leaves count for this purpose and when your Service terminates for all purposes under the Plan in accordance with the provisions of the Plan. Expiration/Term Notwithstanding anything in this Agreement to the contrary, your Option will expire in any event at the close of business at Company headquarters on the day before the tenth (10th) anniversary of the Grant Date (or, if you are a Ten Percent Shareholder, on the day before the fifth (5th) anniversary), as shown on the cover sheet. Your Option will expire earlier if your Service terminates, as described below, or may terminate earlier if a Change in Control occurs. Qualification as an Incentive Stock Option; Certain Dispositions It is understood that this Option is intended to qualify as an Incentive Stock Option to the extent permitted under Applicable Laws. Accordingly, you understand that in order to obtain the benefits of an Incentive Stock Option, no sale or other disposition may be made of shares for which Incentive Stock Option treatment is desired within one (1) year following the date of exercise of the Option or within two (2) years from the Grant Date. You understand and agree that the Company shall not be liable or responsible for any additional tax liability you incur in the event that the Internal Revenue Service for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reason determines that this Option does not qualify as an Incentive Stock Option within the meaning of the Code. Forfeiture of Unvested Options Unless the termination of your Service triggers accelerated vesting or other treatment of your Option pursuant to the terms of this Agreement, the Plan, a written employment or other written compensatory agreement between you and the Company or an Affiliate, or a written compensatory program or policy of the Company or an Affiliate otherwise applicable to you, you will immediately and automatically forfeit to the Company the unvested portion of the Option in the event your Service terminates for any reason. Forfeiture of Vested Options If your Service terminates for any reason, other than for Cause, the vested portion of your Option will expire at the close of business at Company headquarters on the ninetieth (90th) day after your termination date. Treatment of Unvested and Vested Options - Cause If your Service is terminated for Cause, then you shall immediately forfeit all rights to your entire Option (both vested and unvested portions), and the Option shall immediately and automatically expire. Notice of Exercise The vested portion of your Option may be exercised, in whole or in part, by (i) giving written notice to the Company or its designee or agent in such form and manner and following such procedures as the Company may prescribe, of your intent to exercise and (ii) delivering to the Company or its designee or agent full payment for the Common Shares as to which the Option is to be exercised. The notice must specify how many Common Shares you wish to purchase and must also specify how your Common Shares should be registered. If someone else wants to exercise this Option after your death, that person must prove to the Company’s satisfaction that he or she is entitled to do so. Form of Payment When you wish to exercise this Option in full or in part, you must include payment of the aggregate Option Price for the Common Shares you are purchasing. Payment may be made in one (or a combination) of the following forms: • Cash or another cash equivalent acceptable to the Company. • In any other form that is consistent with the Plan and Applicable Laws, including by delivery (on a form acceptable to the Committee) of an irrevocable direction to a licensed securities broker acceptable to the Company to sell Common Shares and to deliver all or part of the proceeds of such sale to the Company in payment of such Option Price. Evidence of Issuance The issuance of the Common Shares upon exercise of this Option shall be evidenced in such a manner as the Company, in its discretion, deems appropriate, including, without limitation, by (i) book-entry registration or (ii) issuance of one or more share certificates. Withholding Taxes You agree as a condition of this Agreement that you will make acceptable arrangements to pay any withholding or other taxes that may be due as a result of the Option exercise or the sale of Common Shares acquired under this Option. In the event that the Company or any Affiliate, as applicable, determines that any federal, state, local, or foreign tax or withholding payment is required relating to the exercise of this Option or the sale of Common Shares arising from this Option, the Company or any Affiliate shall have the right to require you to tender a cash payment, or in the Committee’s discretion, to (i) withhold from the Common Shares to be issued to you a number of Common Shares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 aggregate Fair Market Value (as of the date the withholding is effected) that would satisfy the withholding amount due or (ii) require transfer of the Common Shares owned with an aggregate Fair Market Value (as of the date the withholding is effected) that would satisfy the withholding amount due, provided that any Common Shares withheld will have an aggregate Fair Market Value not exceeding the minimum amount of tax required to be withheld by Applicable Laws; provided, however, for so long as Accounting Standards Update 2016-09 or a similar rule remains in effect, the Committee has full discretion to choose, or to allow you to elect, to withhold a number of Common Shares having an aggregate Fair Market Value that is greater than the applicable minimum required statutory withholding obligation provided that any Common Shares withheld will have an aggregate Fair Market Value not exceeding the maximum amount of tax required to be withheld by Applicable Laws. You agree that the Company or any Affiliate shall be entitled to use whatever method it may deem appropriate to recover such taxes. You further agree that the Company or any Affiliate may, as it reasonably considers necessary, amend or vary this Agreement to facilitate such recovery of taxes. Transferability During your lifetime, only you (or, in the event of your legal incapacity or incompetency, your guardian or legal representative) may exercise the Option. Your Option may not be sold, assigned, transferred, pledged, hypothecated, or otherwise encumbered, whether by operation of law or otherwise, other than by will or by the laws of descent and distribution. If you attempt to do anything other than as expressly permitted by this Agreement, you will immediately and automatically forfeit your Option. Retention Rights This Agreement and the Option evidenced hereby do not give you the right to expectation of employment or other Service by, or to continue in the employment or other Service of, the Company or any Affiliate. Unless otherwise specified in a written employment or other written compensatory agreement between you and the Company or an Affiliate, the Company or any Affiliate, as applicable, reserves the right to terminate your employment or other Service relationship with the Company or an Affiliate at any time and for any reason. Shareholder Rights You have no rights as a shareholder with respect to the Option unless and until the Common Shares underlying the Option have been issued to you upon exercise and either a certificate evidencing your Common Shares has been issued or an appropriate entry has been made on the Company’s books. No adjustments to your Common Shares shall be made for dividends, distributions, or other rights on or with respect to the Common Shares generally if the applicable record date for any such dividend, distribution, or right occurs before your certificate is issued (or an appropriate book entry is made), except as described in the Plan. If you sell or otherwise dispose of the Common Shares acquired pursuant to the exercise of this Option prior to the later of (i) the second (2nd) anniversary of the Grant Date or (ii) the first (1st) anniversary of the date on which the Common Shares were acquired, then you agree to notify the Company in writing of the date of such sale or disposition, the number of Common Shares sold or disposed of, and the sale price per share within ten (10) days of such sale or disposition. Change of Control In the event of a Change in Control, the Option will be treated in the manner provided in Section 17 of the Plan. Clawback This Option is subject to mandatory repayment by you to the Company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circumstances specified in the Plan, including to the extent you are or in the future become subject to any Company “clawback” or recoupment policy or Applicable Laws that require the repayment by you to the Company of compensation paid by the Company to you in the event that you fail to comply with, or violate, the terms or requirements of such policy or Applicable Laws. Applicable Law This Agreement will be interpreted and enforced under the laws of the Province of British Columbia and the laws of Canada applicable therein, other than any conflicts or choice of law rule or principle that might otherwise refer construction or interpretation of this Agreement to the substantive law of another jurisdiction. The Plan The text of the Plan is incorporated into this Agreement by reference. Certain capitalized terms used in this Agreement are defined in the Plan and have the meaning set forth in the Plan. This Agreement and the Plan constitute the entire understanding between you and the Company regarding this Option. Any prior agreements, commitments, or negotiations concerning this Option are superseded, except that any written employment, consulting, confidentiality, non-competition, non-solicitation, and/or severance agreement between you and the Company or an Affiliate, as applicable, shall supersede this Agreement with respect to its subject matter. Data Privacy As a condition of the grant of the Option, you consent to the collection, use, and transfer of personal data as described in this paragraph. You understand that the Company and its Affiliates hold certain personal information about you, including your name, home address and telephone number, date of birth, social security number or equivalent, salary, nationality, job title, ownership interests or directorships held in the Company or its Affiliates, and details of all equity awards or other entitlements to Common Shares awarded, cancelled, exercised, vested or unvested (“Data”). You further understand that the Company and its Affiliates will transfer Data amongst themselves as necessary for the purposes of implementation, administration, and management of your participation in the Plan, and that the Company and any of its Affiliates may each further transfer Data to any third parties assisting the Company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or the subsequent holding of Common Shares on your behalf, in electronic or other form, for the purposes of implementing, administering, and managing your participation in the Plan, including any requisite transfer to a broker or other third party with whom you may elect to deposit any Shares acquired under the Plan. You understand that you may, at any time, view such Data or require any necessary amendments to the Data. Consent to Electronic Delivery You agree, by accepting the Option, to receive documents related to the Option by electronic delivery (including e-mail or reference to a website or other URL) and, if requested, agree to participate in the Plan through an on-line or electronic system established and maintained by the Company or another third party designated by the Company, and your consent shall remain in effect throughout your term of Service and thereafter until you withdraw such consent in writing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Code Section 409A The grant of the Option under this Agreement is intended to be exempt from Code Section 409A (“Section 409A”), and, accordingly, to the maximum extent permitted, this Agreement shall be interpreted and administered to be in compliance with Section 409A. Notwithstanding anything to the contrary in the Plan or this Agreement, none of the Company, its Affiliates, the Board, or the Committee will have any obligation to take any action to prevent the assessment of any excise tax or penalty on you under Section 409A, and none of the Company, its Affiliates, the Board, or the Committee will have any liability to you for such tax or penalty. Successors and Assigns This Agreement shall inure to the successors and assigns of the parties; provided, however, that neither this Agreement nor any rights hereunder may be assigned by you, except to the extent expressly permitted herein.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By accepting this Agreement, you agree to all of the terms and conditions described above and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ARBUTUS BIOPHARMA CORPORATION 2026 OMNIBUS SHARE AND INCENTIVE PLAN NONQUALIFIED STOCK OPTION AGREEMENT COVER SHEET Arbutus Biopharma Corporation, a company incorporated under the laws of the Province of British Columbia (the “Company”), hereby grants an option (the “Option”) to purchase the Company’s common shares, without par value (the “Common Shares”), to the Grantee named below, subject to the vesting and other conditions set forth below. Additional terms and conditions of the Option are set forth in this cover sheet and in the attached Nonqualified Stock Option Agreement (together, the “Agreement”) and in the Arbutus Biopharma Corporation 2026 Omnibus Share and Incentive Plan (as it has been or may be amended and/or restated from time to time, the “Plan”). Name of Grantee: [●] Grant Date: [●] Number of Common Shares Covered by the Option: [●] Option Price per Common Share: [●] Vesting Commencement Date: [●] Vesting Schedule: The Option shall vest as follows: one third to vest on [INSERT DATE]; one third to vest on [INSERT DATE] and one third to vest on [INSERT DATE], while the Grantee remains an eligible Service Provider, and will be exercisable in whole up to the expiration of the Option or such earlier date as may be required or stipulated in accordance with the Plan or the terms of this Agreement; the Option, once vested, shall remain vested until the expiration, termination or surrender of the Option. By your electronic acknowledgement of this Agreement, you agree to all of the terms and conditions described in the Agreement and in the Plan (a copy of which has been made available to you and will be provided on request). You acknowledge that you have carefully reviewed the Plan and agree that the Plan shall control in the event any provision of this Agreement should appear to be inconsistent with the Plan. Grantee: Date: (Signature) Company: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This is not a share certificate or a negotiable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ARBUTUS BIOPHARMA CORPORATION 2026 OMNIBUS SHARE AND INCENTIVE PLAN NONQUALIFIED STOCK OPTION AGREEMENT Nonqualified Stock Option This Agreement evidences an award of an Option exercisable for the number of Common Shares set forth on the cover sheet and subject to the terms and conditions set forth in this Agreement and the Plan. This Option is not intended to be an “incentive stock option” under Section 422 of the Code and will be interpreted accordingly. Vesting Your Option is exercisable only before it expires and then only with respect to the vested portion of the Option. Your Option shall vest in accordance with the vesting schedule set forth on the cover sheet of this Agreement. To the extent that vesting could result in any fractional shares, resulting fractional shares will be rounded to the nearest whole Common Share and shall be rounded down as necessary as of the last applicable vesting date; provided, in all cases, you cannot vest in more than the number of Common Shares covered by your Option, as set forth on the cover sheet of this Agreement. Leaves of Absence For purposes of this Agreement, your Service does not terminate when you go on a bona fide leave of absence that was approved by the Company in writing if the terms of the leave provide for continued Service crediting, or when continued Service crediting is required by Applicable Laws. However, in all other cases, your Service will be treated as terminating ninety (90) days after you went on employee leave, unless your right to return to active work is guaranteed by law or by a contract. Your Service terminates in any event when the approved leave ends unless you immediately return to active employee work. The Company may determine, in its discretion, which leaves count for this purpose and when your Service terminates for all purposes under the Plan in accordance with the provisions of the Plan. Expiration/Term Notwithstanding anything in this Agreement to the contrary, your Option will expire in any event at the close of business at Company headquarters on the day before the tenth (10th) anniversary of the Grant Date, as shown on the cover sheet. Your Option will expire earlier if your Service terminates, as described below, or may terminate earlier if a Change in Control occurs. Forfeiture of Unvested Options Unless the termination of your Service triggers accelerated vesting or other treatment of your Option pursuant to the terms of this Agreement, the Plan, a written employment or other written compensatory agreement between you and the Company or an Affiliate, or a written compensatory program or policy of the Company or an Affiliate otherwise applicable to you, you will immediately and automatically forfeit to the Company the unvested portion of the Option in the event your Service terminates for any reason. Forfeiture of Vested Options If your Service terminates for any reason, other than for Cause, the vested portion of your Option will expire at the close of business at Company headquarters on the ninetieth (90th) day after your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Treatment of Unvested and Vested Options - Cause If your Service is terminated for Cause, then you shall immediately forfeit all rights to your entire Option (both vested and unvested portions), and the Option shall immediately and automatically expire. Notice of Exercise The vested portion of your Option may be exercised, in whole or in part, by (i) giving written notice to the Company or its designee or agent in such form and manner and following such procedures as the Company may prescribe, of your intent to exercise and (ii) delivering to the Company or its designee or agent full payment for the Common Shares as to which the Option is to be exercised. The notice must specify how many Common Shares you wish to purchase and must also specify how your Common Shares should be registered. If someone else wants to exercise this Option after your death, that person must prove to the Company’s satisfaction that he or she is entitled to do so. Form of Payment When you wish to exercise this Option in full or in part, you must include payment of the aggregate Option Price for the Common Shares you are purchasing. Payment may be made in one (or a combination) of the following forms: • Cash or another cash equivalent acceptable to the Company. • In any other form that is consistent with the Plan and Applicable Laws, including by delivery (on a form acceptable to the Committee) of an irrevocable direction to a licensed securities broker acceptable to the Company to sell Common Shares and to deliver all or part of the proceeds of such sale to the Company in payment of such Option Price. Evidence of Issuance The issuance of the Common Shares upon exercise of this Option shall be evidenced in such a manner as the Company, in its discretion, deems appropriate, including, without limitation, by (i) book-entry registration or (ii) issuance of one or more share certificates. Withholding Taxes You agree as a condition of this Agreement that you will make acceptable arrangements to pay any withholding or other taxes that may be due as a result of the Option exercise or the sale of Common Shares acquired under this Option. In the event that the Company or any Affiliate, as applicable, determines that any federal, state, local, or foreign tax or withholding payment is required relating to the exercise of this Option or the sale of Common Shares arising from this Option, the Company or any Affiliate shall have the right to require you to tender a cash payment, or in the Committee’s discretion, to (i) withhold from the Common Shares to be issued to you a number of Common Shares with an aggregate Fair Market Value (as of the date the withholding is effected) that would satisfy the withholding amount due or (ii) require transfer of the Common Shares owned with an aggregate Fair Market Value (as of the date the withholding is effected) that would satisfy the withholding amount due, provided that any Common Shares withheld will have an aggregate Fair Market Value not exceeding the minimum amount of tax required to be withheld by Applicable Laws; provided, however, for so long as Accounting Standards Update 2016-09 or a similar rule remains in effect, the Committee has full discretion to choose, or to allow you to elect, to withhold a number of Common Shares having an aggregate Fair Market Value that is greater than the applicable minimum required statutory withholding obligation provided that any Common Shares withheld will have an aggregate Fair Market Value not exceeding the maximum amount of tax required to be withheld by Applicable Laws. You agree that the Company or any Affiliate shall be entitled to use whatever method it may deem appropriate to recover such taxes. You further agree that the Company or any Affiliate may, as it reasonably considers necessary, amend or vary this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facilitate such recovery of taxes. Transferability During your lifetime, only you (or, in the event of your legal incapacity or incompetency, your guardian or legal representative) may exercise the Option. Your Option may not be sold, assigned, transferred, pledged, hypothecated, or otherwise encumbered, whether by operation of law or otherwise, other than by will or by the laws of descent and distribution. If you attempt to do anything other than as expressly permitted by this Agreement, you will immediately and automatically forfeit your Option. Retention Rights This Agreement and the Option evidenced hereby do not give you the right to expectation of employment or other Service by, or to continue in the employment or other Service of, the Company or any Affiliate. Unless otherwise specified in a written employment or other written compensatory agreement between you and the Company or an Affiliate, the Company or any Affiliate, as applicable, reserves the right to terminate your employment or other Service relationship with the Company or an Affiliate at any time and for any reason. Shareholder Rights You have no rights as a shareholder with respect to the Option unless and until the Common Shares underlying the Option have been issued to you upon exercise and either a certificate evidencing your Common Shares has been issued or an appropriate entry has been made on the Company’s books. No adjustments to your Common Shares shall be made for dividends, distributions, or other rights on or with respect to the Common Shares generally if the applicable record date for any such dividend, distribution, or right occurs before your certificate is issued (or an appropriate book entry is made), except as described in the Plan. Change of Control In the event of a Change in Control, the Option will be treated in the manner provided in Section 17 of the Plan. Clawback This Option is subject to mandatory repayment by you to the Company in the circumstances specified in the Plan, including to the extent you are or in the future become subject to any Company “clawback” or recoupment policy or Applicable Laws that require the repayment by you to the Company of compensation paid by the Company to you in the event that you fail to comply with, or violate, the terms or requirements of such policy or Applicable Laws. Applicable Law This Agreement will be interpreted and enforced under the laws of the Province of British Columbia and the laws of Canada applicable therein, other than any conflicts or choice of law rule or principle that might otherwise refer construction or interpretation of this Agreement to the substantive law of another jurisdiction. The Plan The text of the Plan is incorporated into this Agreement by reference. Certain capitalized terms used in this Agreement are defined in the Plan and have the meaning set forth in the Plan. This Agreement and the Plan constitute the entire understanding between you and the Company regarding this Option. Any prior agreements, commitments, or negotiations concerning this Option are superseded, except that any written employment, consulting, confidentiality, non-competition, non-solicitation, and/or severance agreement between you and the Company or an Affiliate, as applicable, shall supersede this Agreement with respect to its subject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Data Privacy As a condition of the grant of the Option, you consent to the collection, use, and transfer of personal data as described in this paragraph. You understand that the Company and its Affiliates hold certain personal information about you, including your name, home address and telephone number, date of birth, social security number or equivalent, salary, nationality, job title, ownership interests or directorships held in the Company or its Affiliates, and details of all equity awards or other entitlements to Common Shares awarded, cancelled, exercised, vested or unvested (“Data”). You further understand that the Company and its Affiliates will transfer Data amongst themselves as necessary for the purposes of implementation, administration, and management of your participation in the Plan, and that the Company and any of its Affiliates may each further transfer Data to any third parties assisting the Company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or the subsequent holding of Common Shares on your behalf, in electronic or other form, for the purposes of implementing, administering, and managing your participation in the Plan, including any requisite transfer to a broker or other third party with whom you may elect to deposit any Shares acquired under the Plan. You understand that you may, at any time, view such Data or require any necessary amendments to the Data. Consent to Electronic Delivery You agree, by accepting the Option, to receive documents related to the Option by electronic delivery (including e-mail or reference to a website or other URL) and, if requested, agree to participate in the Plan through an on-line or electronic system established and maintained by the Company or another third party designated by the Company, and your consent shall remain in effect throughout your term of Service and thereafter until you withdraw such consent in writing to the Company. Code Section 409A The grant of the Option under this Agreement is intended to be exempt from Code Section 409A (“Section 409A”), and, accordingly, to the maximum extent permitted, this Agreement shall be interpreted and administered to be in compliance with Section 409A. Notwithstanding anything to the contrary in the Plan or this Agreement, none of the Company, its Affiliates, the Board, or the Committee will have any obligation to take any action to prevent the assessment of any excise tax or penalty on you under Section 409A, and none of the Company, its Affiliates, the Board, or the Committee will have any liability to you for such tax or penalty. Successors and Assigns This Agreement shall inure to the successors and assigns of the parties; provided, however, that neither this Agreement nor any rights hereunder may be assigned by you, except to the extent expressly permitted herein.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By accepting this Agreement, you agree to all of the terms and conditions described above and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ARBUTUS BIOPHARMA CORPORATION 2026 OMNIBUS SHARE AND INCENTIVE PLAN STOCK OPTION AGREEMENT (CANADA) COVER SHEET Arbutus Biopharma Corporation, a company incorporated under the laws of the Province of British Columbia (the “Company”), hereby grants an option (the “Option”) to purchase the Company’s common shares, without par value (the “Common Shares”), to the Grantee named below, subject to the vesting and other conditions set forth below. Additional terms and conditions of the Option are set forth in this cover sheet and in the attached Stock Option Agreement (together, the “Agreement”) and in the Arbutus Biopharma Corporation 2026 Omnibus Share and Incentive Plan (as it has been or may be amended and/or restated from time to time, the “Plan”). Name of Grantee: [●] Grant Date: [●] Number of Common Shares Covered by the Option: [●] Option Price per Common Share: [●] Vesting Commencement Date: [●] Vesting Schedule: The Option shall vest as follows: one third to vest on [INSERT DATE]; one third to vest on [INSERT DATE] and one third to vest on [INSERT DATE], while the Grantee remains an eligible Service Provider, and will be exercisable in whole up to the expiration of the Option or such earlier date as may be required or stipulated in accordance with the Plan or the terms of this Agreement; the Option, once vested, shall remain vested until the expiration, termination or surrender of the Option. By your electronic acknowledgement of this Agreement, you agree to all of the terms and conditions described in the Agreement and in the Plan (a copy of which has been made available to you and will be provided on request). You acknowledge that you have carefully reviewed the Plan and agree that the Plan shall control in the event any provision of this Agreement should appear to be inconsistent with the Plan. Grantee: Date: (Signature) Company: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This is not a share certificate or a negotiable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ARBUTUS BIOPHARMA CORPORATION 2026 OMNIBUS SHARE AND INCENTIVE PLAN STOCK OPTION AGREEMENT (CANADA) Stock Option This Agreement evidences an award of an Option exercisable for the number of Common Shares set forth on the cover sheet and subject to the terms and conditions set forth in this Agreement and the Plan. For Canadian Income Tax purposes, this Option is intended to be governed by Section 7 of the Income Tax Act (Canada). Vesting Your Option is exercisable only before it expires and then only with respect to the vested portion of the Option. Your Option shall vest in accordance with the vesting schedule set forth on the cover sheet of this Agreement. To the extent that vesting could result in any fractional shares, resulting fractional shares will be rounded to the nearest whole Common Share and shall be rounded down as necessary as of the last applicable vesting date; provided, in all cases, you cannot vest in more than the number of Common Shares covered by your Option, as set forth on the cover sheet of this Agreement. Leaves of Absence For purposes of this Agreement, your Service does not terminate when you go on a bona fide leave of absence that was approved by the Company in writing if the terms of the leave provide for continued Service crediting, or when continued Service crediting is required by Applicable Laws. However, in all other cases, your Service will be treated as terminating ninety (90) days after you went on employee leave, unless your right to return to active work is guaranteed by law or by a contract. Your Service terminates in any event when the approved leave ends unless you immediately return to active employee work. The Company may determine, in its discretion, which leaves count for this purpose and when your Service terminates for all purposes under the Plan in accordance with the provisions of the Plan. Expiration/Term Notwithstanding anything in this Agreement to the contrary, your Option will expire in any event at the close of business at Company headquarters on the day before the tenth (10th) anniversary of the Grant Date, as shown on the cover sheet. Your Option will expire earlier if your Service terminates, as described below, or may terminate earlier if a Change in Control occurs. Forfeiture of Unvested Options Unless the termination of your Service triggers accelerated vesting or other treatment of your Option pursuant to the terms of this Agreement, the Plan, a written employment or other written compensatory agreement between you and the Company or an Affiliate, or a written compensatory program or policy of the Company or an Affiliate otherwise applicable to you, you will immediately and automatically forfeit to the Company the unvested portion of the Option in the event your Service terminates for any reason. Forfeiture of Vested Options If your Service terminates for any reason, other than for Cause, the vested portion of your Option will expire at the close of business at Company headquarters on the ninetieth (90th) day after your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Treatment of Unvested and Vested Options - Cause If your Service is terminated for Cause, then you shall immediately forfeit all rights to your entire Option (both vested and unvested portions), and the Option shall immediately and automatically expire. Notice of Exercise The vested portion of your Option may be exercised, in whole or in part, by (i) giving written notice to the Company or its designee or agent in such form and manner and following such procedures as the Company may prescribe, of your intent to exercise and (ii) delivering to the Company or its designee or agent full payment for the Common Shares as to which the Option is to be exercised. The notice must specify how many Common Shares you wish to purchase and must also specify how your Common Shares should be registered. If someone else wants to exercise this Option after your death, that person must prove to the Company’s satisfaction that he or she is entitled to do so. Form of Payment When you wish to exercise this Option in full or in part, you must include payment of the aggregate Option Price for the Common Shares you are purchasing. Payment may be made in one (or a combination) of the following forms: • Cash or another cash equivalent acceptable to the Company. • In any other form that is consistent with the Plan and Applicable Laws, including by delivery (on a form acceptable to the Committee) of an irrevocable direction to a licensed securities broker acceptable to the Company to sell Common Shares and to deliver all or part of the proceeds of such sale to the Company in payment of such Option Price. Evidence of Issuance The issuance of the Common Shares upon exercise of this Option shall be evidenced in such a manner as the Company, in its discretion, deems appropriate, including, without limitation, by (i) book-entry registration or (ii) issuance of one or more share certificates. Withholding Taxes You agree as a condition of this Agreement that you will make acceptable arrangements to pay any withholding or other taxes that may be due as a result of the Option exercise or the sale of Common Shares acquired under this Option. In the event that the Company or any Affiliate, as applicable, determines that any federal, state, provincial, local, or foreign tax or withholding payment is required relating to the exercise of this Option or the sale of Common Shares arising from this Option, the Company or any Affiliate shall have the right to require you to tender a cash payment, or in the Committee’s discretion, to withhold from the Common Shares to be issued to you a number of Common Shares with an aggregate Fair Market Value (as of the date the withholding is effected) that would satisfy the withholding amount due, provided that any Common Shares withheld will have an aggregate Fair Market Value not exceeding the minimum amount of tax required to be withheld by Applicable Laws; provided, however, for so long as Accounting Standards Update 2016-09 or a similar rule remains in effect, the Committee has full discretion to choose, or to allow you to elect, to withhold a number of Common Shares having an aggregate Fair Market Value that is greater than the applicable minimum required statutory withholding obligation provided that any Common Shares withheld will have an aggregate Fair Market Value not exceeding the maximum amount of tax required to be withheld by Applicable Laws. You agree that the Company or any Affiliate shall be entitled to use whatever method it may deem appropriate to recover such taxes. You further agree that the Company or any Affiliate may, as it reasonably considers necessary, amend or vary this Agreement to facilitate such recovery of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Transferability During your lifetime, only you (or, in the event of your legal incapacity or incompetency, your guardian or legal representative) may exercise the Option. Your Option may not be sold, assigned, transferred, pledged, hypothecated, or otherwise encumbered, whether by operation of law or otherwise, other than by will or by the laws of descent and distribution. If you attempt to do anything other than as expressly permitted by this Agreement, you will immediately and automatically forfeit your Option. Retention Rights This Agreement and the Option evidenced hereby do not give you the right to expectation of employment or other Service by, or to continue in the employment or other Service of, the Company or any Affiliate. Unless otherwise specified in a written employment or other written compensatory agreement between you and the Company or an Affiliate, the Company or any Affiliate, as applicable, reserves the right to terminate your employment or other Service relationship with the Company or an Affiliate at any time and for any reason. Shareholder Rights You have no rights as a shareholder with respect to the Option unless and until the Common Shares underlying the Option have been issued to you upon exercise and either a certificate evidencing your Common Shares has been issued or an appropriate entry has been made on the Company’s books. No adjustments to your Common Shares shall be made for dividends, distributions, or other rights on or with respect to the Common Shares generally if the applicable record date for any such dividend, distribution, or right occurs before your certificate is issued (or an appropriate book entry is made), except as described in the Plan. Change of Control In the event of a Change in Control, the Option will be treated in the manner provided in Section 17 of the Plan. Clawback This Option is subject to mandatory repayment by you to the Company in the circumstances specified in the Plan, including to the extent you are or in the future become subject to any Company “clawback” or recoupment policy or Applicable Laws that require the repayment by you to the Company of compensation paid by the Company to you in the event that you fail to comply with, or violate, the terms or requirements of such policy or Applicable Laws. Applicable Law This Agreement will be interpreted and enforced under the laws of the Province of British Columbia and the laws of Canada applicable therein, as provided in Section 18.9 of the Plan. The Plan The text of the Plan is incorporated into this Agreement by reference. Certain capitalized terms used in this Agreement are defined in the Plan and have the meaning set forth in the Plan. This Agreement and the Plan constitute the entire understanding between you and the Company regarding this Option. Any prior agreements, commitments, or negotiations concerning this Option are superseded, except that any written employment, consulting, confidentiality, non-competition, non-solicitation, and/or severance agreement between you and the Company or an Affiliate, as applicable, shall supersede this Agreement with respect to its subject matter. Data Privacy By acknowledging and accepting this Agreement, and as a condition of the grant of the Option, you consent to the collection, use, and transfer of personal data as described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this paragraph. You understand that the Company and its Affiliates hold certain personal information about you, including your name, home address and telephone number, date of birth, social security number or equivalent, salary, nationality, job title, ownership interests or directorships held in the Company or its Affiliates, and details of all equity awards or other entitlements to Common Shares awarded, cancelled, exercised, vested or unvested (“Data”). You further understand that the Company and its Affiliates will transfer Data amongst themselves as necessary for the purposes of implementation, administration, and management of your participation in the Plan, and that the Company and any of its Affiliates may each further transfer Data to any third parties assisting the Company in the implementation, administration, and management of the Plan. You understand that these recipients may be located in the European Economic Area or elsewhere, such as the United States. You authorize the Company and its Affiliates and third parties assisting the Company to receive, possess, use, retain, and transfer such Data as may be required for the administration of the Plan or the subsequent holding of Common Shares on your behalf, in electronic or other form, for the purposes of implementing, administering, and managing your participation in the Plan, including any requisite transfer to a broker or other third party with whom you may elect to deposit any Shares acquired under the Plan. You understand that you may, at any time, view such Data or require any necessary amendments to the Data. Consent to Electronic Delivery By acknowledging and accepting this Agreement, you consent to the receipt from the Company and its Affiliates and third parties assisting the Company of commercial electronic communications relating to the Options and the implementation, administration, and management of your participation in the Plan, including the receipt of documents, (whether by e-mail or reference to a website or other URL) and, if requested, agree to participate in the Plan through an on-line or electronic system established and maintained by the Company or another third party designated by the Company, and your consent shall remain in effect throughout your term of Service and thereafter until you withdraw such consent in writing to the Company. No Liability for Taxes As a condition to accepting the Option, you hereby (a) agree to no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so. Successors and Assigns This Agreement shall inure to the successors and assigns of the parties; provided, however, that neither this Agreement nor any rights hereunder may be assigned by you, except to the extent expressly permitted herein of the Plan.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By accepting this Agreement, you agree to all of the terms and conditions described above and in the Plan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rsuagreement.htm"/>
      <w:bookmarkStart w:id="4" w:name="ksrsuagreement"/>
      <w:bookmarkEnd w:id="3"/>
      <w:bookmarkEnd w:id="4"/>
      <w:r>
        <w:rPr/>
        <w:drawing>
          <wp:inline distT="0" distB="0" distL="0" distR="0">
            <wp:extent cx="10048875" cy="13001625"/>
            <wp:effectExtent l="0" t="0" r="0" b="0"/>
            <wp:docPr id="6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ARBUTUS BIOPHARMA CORPORATION 2026 OMNIBUS SHARE AND INCENTIVE PLAN RESTRICTED SHARE UNIT AGREEMENT (U.S.) COVER SHEET Arbutus Biopharma Corporation, a company incorporated under the laws of the Province of British Columbia (the “Company”), hereby grants restricted share units (the “RSUs”) relating to the Company’s common shares, without par value (the “Common Shares”), to the Grantee named below, subject to the vesting and other conditions set forth below. Additional terms and conditions of the RSUs are set forth in this cover sheet and in the attached Restricted Share Unit Agreement (together, the “Agreement”) and in the Arbutus Biopharma Corporation 2026 Omnibus Share and Incentive Plan (as it has been or may be amended and/or restated from time to time, the “Plan”). Name of Grantee: [●] Grant Date: [●] Number of Common Shares Covered by the RSUs: [●] Vesting Commencement Date: [●] Vesting Schedule: [●] By your electronic acknowledgement of this Agreement, you agree to all of the terms and conditions described in the Agreement and in the Plan (a copy of which has been made available to you and will be provided on request). You acknowledge that you have carefully reviewed the Plan and agree that the Plan shall control in the event any provision of this Agreement should appear to be inconsistent with the Plan. Grantee: Date: (Signature) Company: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This is not a share certificate or a negotiable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ARBUTUS BIOPHARMA CORPORATION 2026 OMNIBUS SHARE AND INCENTIVE PLAN RESTRICTED SHARE UNIT AGREEMENT (U.S.) Restricted Share Units This Agreement evidences an award of RSUs in the number set forth on the cover sheet and subject to the terms and conditions set forth in this Agreement and the Plan. Transferability Your RSUs may not be sold, assigned, transferred, pledged, hypothecated, or otherwise encumbered, whether by operation of law or otherwise, other than by will or by the laws of descent and distribution. If you attempt to do anything other than as expressly permitted by this Agreement, you will immediately and automatically forfeit your RSUs. Vesting Your RSUs shall vest in accordance with the vesting schedule set forth on the cover sheet of this Agreement. To the extent that vesting could result in any fractional shares, resulting fractional shares will be rounded to the nearest whole Common Share and shall be rounded down as necessary as of the last applicable vesting date; provided, in all cases, you cannot vest in more than the number of Common Shares covered by your RSUs, as set forth on the cover sheet of this Agreement. Leaves of Absence For purposes of this Agreement, your Service does not terminate when you go on a bona fide leave of absence that was approved by the Company in writing if the terms of the leave provide for continued Service crediting, or when continued Service crediting is required by Applicable Laws. However, in all other cases, your Service will be treated as terminating ninety (90) days after you went on employee leave, unless your right to return to active work is guaranteed by law or by a contract. Your Service terminates in any event when the approved leave ends unless you immediately return to active employee work. The Company may determine, in its discretion, which leaves count for this purpose and when your Service terminates for all purposes under the Plan in accordance with the provisions of the Plan. Forfeiture of Unvested RSUs Unless the termination of your Service triggers accelerated vesting or other treatment of your RSUs pursuant to the terms of this Agreement, the Plan, a written employment or other written compensatory agreement between you and the Company or an Affiliate, or a written compensatory program or policy of the Company or an Affiliate otherwise applicable to you, you will immediately and automatically forfeit to the Company all of your unvested RSUs in the event your Service terminates for any reason. Delivery Delivery of the Common Shares represented by your vested RSUs shall be made as soon as practicable after the date on which your RSUs vest and, in any event, by no later than March 15 of the calendar year following the year in which your RSUs vest. Evidence of Issuance The issuance of the Common Shares with respect to the RSUs shall be evidenced in such a manner as the Company, in its discretion, deems appropriate, including, without limitation, by (i) book-entry registration or (ii) issuance of one or more share certificates. Withholding Taxes You agree as a condition of this Agreement that you will make acceptable arrangements to pay any withholding or other taxes that may be due relating to the RSUs or the issuance of Common Shares with respect to the RSUs. In the event that the Company or any Affiliate, as applicable, determines that any federal, state, local, or foreign tax or withholding payment is required relating to the RSUs or the issuance of Common Shares with respect to the RSUs, the Company or any Affiliate shall have the right to require you to tender a cash payment, or in the Committee’s discretion, to (i) withhold from the Common Shares to be issued to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 number of Common Shares with an aggregate Fair Market Value (as of the date the withholding is effected) that would satisfy the withholding amount due or (ii) require transfer of the Common Shares owned with an aggregate Fair Market Value (as of the date the withholding is effected) that would satisfy the withholding amount due, provided that any Common Shares withheld will have an aggregate Fair Market Value not exceeding the minimum amount of tax required to be withheld by Applicable Laws; provided, however, for so long as Accounting Standards Update 2016-09 or a similar rule remains in effect, the Committee has full discretion to choose, or to allow you to elect, to withhold a number of Common Shares having an aggregate Fair Market Value that is greater than the applicable minimum required statutory withholding obligation provided that any Common Shares withheld will have an aggregate Fair Market Value not exceeding the maximum amount of tax required to be withheld by Applicable Laws. You agree that the Company or any Affiliate shall be entitled to use whatever method it may deem appropriate to recover such taxes. You further agree that the Company or any Affiliate may, as it reasonably considers necessary, amend or vary this Agreement to facilitate such recovery of taxes. Retention Rights This Agreement and the RSUs evidenced hereby do not give you the right to expectation of employment or other Service by, or to continue in the employment or other Service of, the Company or any Affiliate. Unless otherwise specified in a written employment or other written compensatory agreement between you and the Company or an Affiliate, the Company or any Affiliate, as applicable, reserves the right to terminate your employment or other Service relationship with the Company or an Affiliate at any time and for any reason. Shareholder Rights You have no rights as a shareholder with respect to the RSUs unless and until Common Shares relating to the RSUs have been issued to you and either a certificate evidencing your Common Shares have been issued or an appropriate entry has been made on the Company’s books. No adjustments to your Common Shares shall be made for dividends, distributions, or other rights on or with respect to the Common Shares generally if the applicable record date for any such dividend, distribution, or right occurs before your certificate is issued (or an appropriate book entry is made), except as described in the Plan. Change of Control In the event of a Change in Control, the RSUs will be treated in the manner provided in Section 17 of the Plan. Clawback The RSUs are subject to mandatory repayment by you to the Company in the circumstances specified in the Plan, including to the extent you are or in the future become subject to any Company “clawback” or recoupment policy or Applicable Laws that require the repayment by you to the Company of compensation paid by the Company to you in the event that you fail to comply with, or violate, the terms or requirements of such policy or Applicable Laws. Applicable Law This Agreement will be interpreted and enforced under the laws of the Province of British Columbia and the laws of Canada applicable therein, other than any conflicts or choice of law rule or principle that might otherwise refer construction or interpretation of this Agreement to the substantive law of another jurisdiction. The Plan The text of the Plan is incorporated into this Agreement by reference. Certain capitalized terms used in this Agreement are defined in the Plan and have the meaning set forth in the Plan. This Agreement and the Plan constitute the entire understanding between you and the Company regarding the RSUs. Any prior agreements, commitments, or negotiations concerning the RSUs are superseded, except that any written employment, consulting, confidentiality, non-competition, non-solicitation, and/or severance agreement between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and the Company or an Affiliate, as applicable, shall supersede this Agreement with respect to its subject matter. Data Privacy As a condition of the grant of the RSUs, you consent to the collection, use, and transfer of personal data as described in this paragraph. You understand that the Company and its Affiliates hold certain personal information about you, including your name, home address and telephone number, date of birth, social security number or equivalent, salary, nationality, job title, ownership interests or directorships held in the Company or its Affiliates, and details of all equity awards or other entitlements to Common Shares awarded, cancelled, exercised, vested or unvested (“Data”). You further understand that the Company and its Affiliates will transfer Data amongst themselves as necessary for the purposes of implementation, administration, and management of your participation in the Plan, and that the Company and any of its Affiliates may each further transfer Data to any third parties assisting the Company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or the subsequent holding of Common Shares on your behalf, in electronic or other form, for the purposes of implementing, administering, and managing your participation in the Plan, including any requisite transfer to a broker or other third party with whom you may elect to deposit any Common Shares acquired under the Plan. You understand that you may, at any time, view such Data or require any necessary amendments to the Data. Consent to Electronic Delivery You agree, by accepting the RSUs, to receive documents related to the RSUs by electronic delivery (including e-mail or reference to a website or other URL) and, if requested, agree to participate in the Plan through an on-line or electronic system established and maintained by the Company or another third party designated by the Company, and your consent shall remain in effect throughout your term of Service and thereafter until you withdraw such consent in writing to the Company. Code Section 409A The grant of RSUs under this Agreement is intended to comply with the short-term deferral exemption from Code Section 409A (“Section 409A”) and, accordingly, to the maximum extent permitted, this Agreement shall be interpreted and administered to be in compliance with the exemption. Notwithstanding anything to the contrary in the Plan or this Agreement, none of the Company, its Affiliates, the Board, or the Committee will have any obligation to take any action to prevent the assessment of any excise tax or penalty on you under Section 409A, and none of the Company, its Affiliates, the Board, or the Committee will have any liability to you for such tax or penalty. Successors and Assigns This Agreement shall inure to the successors and assigns of the parties; provided, however, that neither this Agreement nor any rights hereunder may be assigned by you, except to the extent expressly permitted herein.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By accepting this Agreement, you agree to all of the terms and conditions described above and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ARBUTUS BIOPHARMA CORPORATION 2026 OMNIBUS SHARE AND INCENTIVE PLAN RESTRICTED SHARE UNIT AGREEMENT (CANADA) COVER SHEET Arbutus Biopharma Corporation, a company incorporated under the laws of the Province of British Columbia (the “Company”), hereby grants restricted share units (the “RSUs”) relating to the Company’s common shares, without par value (the “Common Shares”), to the Grantee named below, subject to the vesting and other conditions set forth below. Additional terms and conditions of the RSUs are set forth in this cover sheet and in the attached Restricted Share Unit Agreement (together, the “Agreement”) and in the Arbutus Biopharma Corporation 2026 Omnibus Share and Incentive Plan (as it has been or may be amended and/or restated from time to time, the “Plan”). Name of Grantee: [●] Grant Date: [●] Number of Common Shares Covered by the RSUs: [●] Vesting Commencement Date: [●] Vesting Schedule: [●] By your electronic acknowledgement of this Agreement, you agree to all of the terms and conditions described in the Agreement and in the Plan (a copy of which has been made available to you and will be provided on request). You acknowledge that you have carefully reviewed the Plan and agree that the Plan shall control in the event any provision of this Agreement should appear to be inconsistent with the Plan. Grantee: Date: (Signature) Company: Date: (Signature)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This is not a share certificate or a negotiable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ARBUTUS BIOPHARMA CORPORATION 2026 OMNIBUS SHARE AND INCENTIVE PLAN RESTRICTED SHARE UNIT AGREEMENT (CANADA) Restricted Share Units This Agreement evidences an award of RSUs in the number set forth on the cover sheet and subject to the terms and conditions set forth in this Agreement and the Plan. Transferability Your RSUs may not be sold, assigned, transferred, pledged, hypothecated, or otherwise encumbered, whether by operation of law or otherwise, other than by will or by the laws of descent and distribution. If you attempt to do anything other than as expressly permitted by this Agreement, you will immediately and automatically forfeit your RSUs. Vesting Your RSUs shall vest in accordance with the vesting schedule set forth on the cover sheet of this Agreement. To the extent that vesting could result in any fractional shares, resulting fractional shares will be rounded to the nearest whole Common Share and shall be rounded down as necessary as of the last applicable vesting date; provided, in all cases, you cannot vest in more than the number of Common Shares covered by your RSUs, as set forth on the cover sheet of this Agreement. Leaves of Absence For purposes of this Agreement, your Service does not terminate when you go on a bona fide leave of absence that was approved by the Company in writing if the terms of the leave provide for continued Service crediting, or when continued Service crediting is required by Applicable Laws. However, in all other cases, your Service will be treated as terminating ninety (90) days after you went on employee leave, unless your right to return to active work is guaranteed by law or by a contract. Your Service terminates in any event when the approved leave ends unless you immediately return to active employee work. The Company may determine, in its discretion, which leaves count for this purpose and when your Service terminates for all purposes under the Plan in accordance with the provisions of the Plan. Forfeiture of Unvested RSUs Unless the termination of your Service triggers accelerated vesting or other treatment of your RSUs pursuant to the terms of this Agreement, the Plan, a written employment or other written compensatory agreement between you and the Company or an Affiliate, or a written compensatory program or policy of the Company or an Affiliate otherwise applicable to you, you will immediately and automatically forfeit to the Company all of your unvested RSUs in the event your Service terminates for any reason. Delivery Delivery of the Common Shares represented by your vested RSUs shall be made as soon as practicable after the date on which your RSUs vest and, in any event, by no later than March 15 of the calendar year following the year in which your RSUs vest. Evidence of Issuance The issuance of the Common Shares with respect to the RSUs shall be evidenced in such a manner as the Company, in its discretion, deems appropriate, including, without limitation, by (i) book-entry registration or (ii) issuance of one or more share certificates. Withholding Taxes You agree as a condition of this Agreement that you will make acceptable arrangements to pay any withholding or other taxes that may be due relating to the RSUs or the issuance of Common Shares with respect to the RSUs. In the event that the Company or any Affiliate, as applicable, determines that any federal, state, provincial, local, or foreign tax or withholding payment is required relating to the RSUs or the issuance of Common Shares with respect to the RSUs, the Company or any Affiliate shall have the right to require you to tender a cash payment, or in the Committee’s discretion, to withhold from the Common Shares to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you a number of Common Shares with an aggregate Fair Market Value (as of the date the withholding is effected) that would satisfy the withholding amount due, provided that any Common Shares withheld will have an aggregate Fair Market Value not exceeding the minimum amount of tax required to be withheld by Applicable Laws; provided, however, for so long as Accounting Standards Update 2016-09 or a similar rule remains in effect, the Committee has full discretion to choose, or to allow you to elect, to withhold a number of Common Shares having an aggregate Fair Market Value that is greater than the applicable minimum required statutory withholding obligation provided that any Common Shares withheld will have an aggregate Fair Market Value not exceeding the maximum amount of tax required to be withheld by Applicable Laws. You agree that the Company or any Affiliate shall be entitled to use whatever method it may deem appropriate to recover such taxes. You further agree that the Company or any Affiliate may, as it reasonably considers necessary, amend or vary this Agreement to facilitate such recovery of taxes. Retention Rights This Agreement and the RSUs evidenced hereby do not give you the right to expectation of employment or other Service by, or to continue in the employment or other Service of, the Company or any Affiliate. Unless otherwise specified in a written employment or other written compensatory agreement between you and the Company or an Affiliate, the Company or any Affiliate, as applicable, reserves the right to terminate your employment or other Service relationship with the Company or an Affiliate at any time and for any reason. Shareholder Rights You have no rights as a shareholder with respect to the RSUs unless and until Common Shares relating to the RSUs have been issued to you and either a certificate evidencing your Common Shares have been issued or an appropriate entry has been made on the Company’s books. No adjustments to your Common Shares shall be made for dividends, distributions, or other rights on or with respect to the Common Shares generally if the applicable record date for any such dividend, distribution, or right occurs before your certificate is issued (or an appropriate book entry is made), except as described in the Plan. Change of Control In the event of a Change in Control, the RSUs will be treated in the manner provided in Section 17 of the Plan. Clawback The RSUs are subject to mandatory repayment by you to the Company in the circumstances specified in the Plan, including to the extent you are or in the future become subject to any Company “clawback” or recoupment policy or Applicable Laws that require the repayment by you to the Company of compensation paid by the Company to you in the event that you fail to comply with, or violate, the terms or requirements of such policy or Applicable Laws. Applicable Law This Agreement will be interpreted and enforced under the laws of the Province of British Columbia and the laws of Canada applicable therein, as provided in Section 18.9 of the Plan. The Plan The text of the Plan is incorporated into this Agreement by reference. Certain capitalized terms used in this Agreement are defined in the Plan and have the meaning set forth in the Plan. This Agreement and the Plan constitute the entire understanding between you and the Company regarding the RSUs. Any prior agreements, commitments, or negotiations concerning the RSUs are superseded, except that any written employment, consulting, confidentiality, non-competition, non-solicitation, and/or severance agreement between you and the Company or an Affiliate, as applicable, shall supersede this Agreement with respect to its subject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Data Privacy By acknowledging and accepting this Agreement, and as a condition of the grant of the RSUs, you consent to the collection, use, and transfer of personal data as described in this paragraph. You understand that the Company and its Affiliates hold certain personal information about you, including your name, home address and telephone number, date of birth, social security number or equivalent, salary, nationality, job title, ownership interests or directorships held in the Company or its Affiliates, and details of all equity awards or other entitlements to Common Shares awarded, cancelled, exercised, vested or unvested (“Data”). You further understand that the Company and its Affiliates will transfer Data amongst themselves as necessary for the purposes of implementation, administration, and management of your participation in the Plan, and that the Company and any of its Affiliates may each further transfer Data to any third parties assisting the Company in the implementation, administration, and management of the Plan. You understand that these recipients may be located in the European Economic Area or elsewhere, such as the United States. You authorize the Company and its Affiliates and third parties assisting the Company to receive, possess, use, retain, and transfer such Data as may be required for the administration of the Plan or the subsequent holding of Common Shares on your behalf, in electronic or other form, for the purposes of implementing, administering, and managing your participation in the Plan, including any requisite transfer to a broker or other third party with whom you may elect to deposit any Common Shares acquired under the Plan. You understand that you may, at any time, view such Data or require any necessary amendments to the Data. Consent to Electronic Delivery By acknowledging and accepting this Agreement,, you consent to the receipt from the Company and its Affiliates and third parties assisting the Company of commercial electronic communications relating to the RSUs and the implementation, administration, and management of your participation in the Plan, including the receipt of documents, (whether by e-mail or reference to a website or other URL) and, if requested, agree to participate in the Plan through an on-line or electronic system established and maintained by the Company or another third party designated by the Company, and your consent shall remain in effect throughout your term of Service and thereafter until you withdraw such consent in writing to the Company. No Liability for Taxes As a condition to accepting the RSU, you hereby (a) agree to no make any claim against the Company, or any of its Officers, Directors, Employees, or Affiliates related to tax liabilities arising from the RSU or other Company compensation and (b) acknowledge that you were advised to consult with your own personal tax, financial and other legal advisors regarding the tax consequences of the RSU and have either done so or knowingly and voluntarily declined to so. Successors and Assigns This Agreement shall inure to the successors and assigns of the parties; provided, however, that neither this Agreement nor any rights hereunder may be assigned by you, except to the extent expressly permitted herein of the Plan.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By accepting this Agreement, you agree to all of the terms and conditions described above and in the Plan.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100" w:after="100"/>
        <w:jc w:val="righ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EXCHANGE ACT OF 1934, AS ADOPTED PURSUANT TO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Lindsay Androski, certify that: </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12, 2026 </w:t>
      </w:r>
    </w:p>
    <w:tbl>
      <w:tblPr>
        <w:tblW w:w="4091"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EXCHANGE ACT OF 1934, AS ADOPTED PURSUANT TO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Tuan Nguyen, certify that: </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12, 2026 </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3"/>
        <w:gridCol w:w="733"/>
        <w:gridCol w:w="1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100" w:after="100"/>
        <w:jc w:val="righ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Arbutus Biopharma Corporation (the “Company”) for the quarter ended June 30, 2026, as filed with the Securities and Exchange Commission on the date hereof (the “Report”), I, Lindsay Androski, President and Chief Executive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12, 2026 </w:t>
      </w:r>
    </w:p>
    <w:tbl>
      <w:tblPr>
        <w:tblW w:w="4091"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Lindsay Androski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Arbutus Biopharma Corporation (the “Company”) for the quarter ended June 30, 2026, as filed with the Securities and Exchange Commission on the date hereof (the “Report”), I, Tuan Nguyen, Chief Financial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12, 2026 </w:t>
      </w:r>
    </w:p>
    <w:tbl>
      <w:tblPr>
        <w:tblW w:w="2892" w:type="dxa"/>
        <w:jc w:val="center"/>
        <w:tblInd w:w="0" w:type="dxa"/>
        <w:tblLayout w:type="fixed"/>
        <w:tblCellMar>
          <w:top w:w="28" w:type="dxa"/>
          <w:left w:w="28" w:type="dxa"/>
          <w:bottom w:w="28" w:type="dxa"/>
          <w:right w:w="28" w:type="dxa"/>
        </w:tblCellMar>
      </w:tblPr>
      <w:tblGrid>
        <w:gridCol w:w="124"/>
        <w:gridCol w:w="109"/>
        <w:gridCol w:w="109"/>
        <w:gridCol w:w="746"/>
        <w:gridCol w:w="746"/>
        <w:gridCol w:w="1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Tuan Nguyen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028/000162828018003276/exhibit31_articlesandartic.htm" TargetMode="External"/><Relationship Id="rId4" Type="http://schemas.openxmlformats.org/officeDocument/2006/relationships/hyperlink" Target="https://www.sec.gov/Archives/edgar/data/1447028/000162828018013909/exhibit31amendmenttoarticl.htm" TargetMode="External"/><Relationship Id="rId5" Type="http://schemas.openxmlformats.org/officeDocument/2006/relationships/hyperlink" Target="https://www.sec.gov/Archives/edgar/data/1447028/000144702826000024/arbutus2026omnibussharea.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0.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35834</Words>
  <Characters>194176</Characters>
  <CharactersWithSpaces>229275</CharactersWithSpaces>
  <Paragraphs>2016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rsuagreement</dc:title>
</cp:coreProperties>
</file>