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July 23, 2020 (July 23, 2020)</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Arbutus Biopharma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charter)</w:t>
      </w:r>
    </w:p>
    <w:p>
      <w:pPr>
        <w:spacing w:after="0" w:line="338" w:lineRule="exact"/>
        <w:rPr>
          <w:sz w:val="24"/>
          <w:szCs w:val="24"/>
          <w:color w:val="auto"/>
        </w:rPr>
      </w:pPr>
    </w:p>
    <w:tbl>
      <w:tblPr>
        <w:tblLayout w:type="fixed"/>
        <w:tblInd w:w="1060" w:type="dxa"/>
        <w:tblCellMar>
          <w:top w:w="0" w:type="dxa"/>
          <w:left w:w="0" w:type="dxa"/>
          <w:bottom w:w="0" w:type="dxa"/>
          <w:right w:w="0" w:type="dxa"/>
        </w:tblCellMar>
      </w:tblPr>
      <w:tr>
        <w:trPr>
          <w:trHeight w:val="210"/>
        </w:trPr>
        <w:tc>
          <w:tcPr>
            <w:tcW w:w="3780" w:type="dxa"/>
            <w:vAlign w:val="bottom"/>
            <w:gridSpan w:val="3"/>
          </w:tcPr>
          <w:p>
            <w:pPr>
              <w:jc w:val="center"/>
              <w:ind w:right="860"/>
              <w:spacing w:after="0"/>
              <w:rPr>
                <w:sz w:val="20"/>
                <w:szCs w:val="20"/>
                <w:color w:val="auto"/>
              </w:rPr>
            </w:pPr>
            <w:r>
              <w:rPr>
                <w:rFonts w:ascii="Arial" w:cs="Arial" w:eastAsia="Arial" w:hAnsi="Arial"/>
                <w:sz w:val="16"/>
                <w:szCs w:val="16"/>
                <w:b w:val="1"/>
                <w:bCs w:val="1"/>
                <w:color w:val="auto"/>
                <w:w w:val="94"/>
              </w:rPr>
              <w:t>British Columbia, Canada</w:t>
            </w:r>
          </w:p>
        </w:tc>
        <w:tc>
          <w:tcPr>
            <w:tcW w:w="2260" w:type="dxa"/>
            <w:vAlign w:val="bottom"/>
            <w:gridSpan w:val="3"/>
          </w:tcPr>
          <w:p>
            <w:pPr>
              <w:jc w:val="right"/>
              <w:ind w:right="1120"/>
              <w:spacing w:after="0"/>
              <w:rPr>
                <w:sz w:val="20"/>
                <w:szCs w:val="20"/>
                <w:color w:val="auto"/>
              </w:rPr>
            </w:pPr>
            <w:r>
              <w:rPr>
                <w:rFonts w:ascii="Arial" w:cs="Arial" w:eastAsia="Arial" w:hAnsi="Arial"/>
                <w:sz w:val="16"/>
                <w:szCs w:val="16"/>
                <w:b w:val="1"/>
                <w:bCs w:val="1"/>
                <w:color w:val="auto"/>
              </w:rPr>
              <w:t>001-34949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tcPr>
          <w:p>
            <w:pPr>
              <w:jc w:val="center"/>
              <w:ind w:right="103"/>
              <w:spacing w:after="0"/>
              <w:rPr>
                <w:sz w:val="20"/>
                <w:szCs w:val="20"/>
                <w:color w:val="auto"/>
              </w:rPr>
            </w:pPr>
            <w:r>
              <w:rPr>
                <w:rFonts w:ascii="Arial" w:cs="Arial" w:eastAsia="Arial" w:hAnsi="Arial"/>
                <w:sz w:val="16"/>
                <w:szCs w:val="16"/>
                <w:b w:val="1"/>
                <w:bCs w:val="1"/>
                <w:color w:val="auto"/>
                <w:w w:val="91"/>
              </w:rPr>
              <w:t>98-0597776</w:t>
            </w:r>
          </w:p>
        </w:tc>
      </w:tr>
      <w:tr>
        <w:trPr>
          <w:trHeight w:val="33"/>
        </w:trPr>
        <w:tc>
          <w:tcPr>
            <w:tcW w:w="2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150"/>
        </w:trPr>
        <w:tc>
          <w:tcPr>
            <w:tcW w:w="3780" w:type="dxa"/>
            <w:vAlign w:val="bottom"/>
            <w:gridSpan w:val="3"/>
          </w:tcPr>
          <w:p>
            <w:pPr>
              <w:jc w:val="center"/>
              <w:ind w:right="860"/>
              <w:spacing w:after="0" w:line="151" w:lineRule="exact"/>
              <w:rPr>
                <w:sz w:val="20"/>
                <w:szCs w:val="20"/>
                <w:color w:val="auto"/>
              </w:rPr>
            </w:pPr>
            <w:r>
              <w:rPr>
                <w:rFonts w:ascii="Arial" w:cs="Arial" w:eastAsia="Arial" w:hAnsi="Arial"/>
                <w:sz w:val="14"/>
                <w:szCs w:val="14"/>
                <w:color w:val="auto"/>
                <w:w w:val="95"/>
              </w:rPr>
              <w:t>(State or other jurisdiction</w:t>
            </w:r>
          </w:p>
        </w:tc>
        <w:tc>
          <w:tcPr>
            <w:tcW w:w="2600" w:type="dxa"/>
            <w:vAlign w:val="bottom"/>
            <w:gridSpan w:val="5"/>
          </w:tcPr>
          <w:p>
            <w:pPr>
              <w:jc w:val="center"/>
              <w:ind w:right="1020"/>
              <w:spacing w:after="0" w:line="151" w:lineRule="exact"/>
              <w:rPr>
                <w:sz w:val="20"/>
                <w:szCs w:val="20"/>
                <w:color w:val="auto"/>
              </w:rPr>
            </w:pPr>
            <w:r>
              <w:rPr>
                <w:rFonts w:ascii="Arial" w:cs="Arial" w:eastAsia="Arial" w:hAnsi="Arial"/>
                <w:sz w:val="14"/>
                <w:szCs w:val="14"/>
                <w:color w:val="auto"/>
                <w:w w:val="95"/>
              </w:rPr>
              <w:t>(Commission</w:t>
            </w:r>
          </w:p>
        </w:tc>
        <w:tc>
          <w:tcPr>
            <w:tcW w:w="2760" w:type="dxa"/>
            <w:vAlign w:val="bottom"/>
          </w:tcPr>
          <w:p>
            <w:pPr>
              <w:jc w:val="center"/>
              <w:ind w:right="103"/>
              <w:spacing w:after="0" w:line="151" w:lineRule="exact"/>
              <w:rPr>
                <w:sz w:val="20"/>
                <w:szCs w:val="20"/>
                <w:color w:val="auto"/>
              </w:rPr>
            </w:pPr>
            <w:r>
              <w:rPr>
                <w:rFonts w:ascii="Arial" w:cs="Arial" w:eastAsia="Arial" w:hAnsi="Arial"/>
                <w:sz w:val="14"/>
                <w:szCs w:val="14"/>
                <w:color w:val="auto"/>
                <w:w w:val="94"/>
              </w:rPr>
              <w:t>(IRS Employer</w:t>
            </w:r>
          </w:p>
        </w:tc>
      </w:tr>
      <w:tr>
        <w:trPr>
          <w:trHeight w:val="182"/>
        </w:trPr>
        <w:tc>
          <w:tcPr>
            <w:tcW w:w="3780" w:type="dxa"/>
            <w:vAlign w:val="bottom"/>
            <w:gridSpan w:val="3"/>
          </w:tcPr>
          <w:p>
            <w:pPr>
              <w:jc w:val="center"/>
              <w:ind w:right="880"/>
              <w:spacing w:after="0"/>
              <w:rPr>
                <w:sz w:val="20"/>
                <w:szCs w:val="20"/>
                <w:color w:val="auto"/>
              </w:rPr>
            </w:pPr>
            <w:r>
              <w:rPr>
                <w:rFonts w:ascii="Arial" w:cs="Arial" w:eastAsia="Arial" w:hAnsi="Arial"/>
                <w:sz w:val="14"/>
                <w:szCs w:val="14"/>
                <w:color w:val="auto"/>
                <w:w w:val="96"/>
              </w:rPr>
              <w:t>of incorporation)</w:t>
            </w:r>
          </w:p>
        </w:tc>
        <w:tc>
          <w:tcPr>
            <w:tcW w:w="2600" w:type="dxa"/>
            <w:vAlign w:val="bottom"/>
            <w:gridSpan w:val="5"/>
          </w:tcPr>
          <w:p>
            <w:pPr>
              <w:jc w:val="center"/>
              <w:ind w:right="1020"/>
              <w:spacing w:after="0"/>
              <w:rPr>
                <w:sz w:val="20"/>
                <w:szCs w:val="20"/>
                <w:color w:val="auto"/>
              </w:rPr>
            </w:pPr>
            <w:r>
              <w:rPr>
                <w:rFonts w:ascii="Arial" w:cs="Arial" w:eastAsia="Arial" w:hAnsi="Arial"/>
                <w:sz w:val="14"/>
                <w:szCs w:val="14"/>
                <w:color w:val="auto"/>
                <w:w w:val="96"/>
              </w:rPr>
              <w:t>File Number)</w:t>
            </w:r>
          </w:p>
        </w:tc>
        <w:tc>
          <w:tcPr>
            <w:tcW w:w="2760" w:type="dxa"/>
            <w:vAlign w:val="bottom"/>
          </w:tcPr>
          <w:p>
            <w:pPr>
              <w:jc w:val="center"/>
              <w:ind w:right="103"/>
              <w:spacing w:after="0"/>
              <w:rPr>
                <w:sz w:val="20"/>
                <w:szCs w:val="20"/>
                <w:color w:val="auto"/>
              </w:rPr>
            </w:pPr>
            <w:r>
              <w:rPr>
                <w:rFonts w:ascii="Arial" w:cs="Arial" w:eastAsia="Arial" w:hAnsi="Arial"/>
                <w:sz w:val="14"/>
                <w:szCs w:val="14"/>
                <w:color w:val="auto"/>
                <w:w w:val="97"/>
              </w:rPr>
              <w:t>Identification No.)</w:t>
            </w:r>
          </w:p>
        </w:tc>
      </w:tr>
      <w:tr>
        <w:trPr>
          <w:trHeight w:val="552"/>
        </w:trPr>
        <w:tc>
          <w:tcPr>
            <w:tcW w:w="3780" w:type="dxa"/>
            <w:vAlign w:val="bottom"/>
            <w:gridSpan w:val="3"/>
          </w:tcPr>
          <w:p>
            <w:pPr>
              <w:jc w:val="center"/>
              <w:ind w:left="622"/>
              <w:spacing w:after="0"/>
              <w:rPr>
                <w:sz w:val="20"/>
                <w:szCs w:val="20"/>
                <w:color w:val="auto"/>
              </w:rPr>
            </w:pPr>
            <w:r>
              <w:rPr>
                <w:rFonts w:ascii="Arial" w:cs="Arial" w:eastAsia="Arial" w:hAnsi="Arial"/>
                <w:sz w:val="16"/>
                <w:szCs w:val="16"/>
                <w:b w:val="1"/>
                <w:bCs w:val="1"/>
                <w:color w:val="auto"/>
                <w:w w:val="92"/>
              </w:rPr>
              <w:t>701 Veterans Circle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0"/>
        </w:trPr>
        <w:tc>
          <w:tcPr>
            <w:tcW w:w="3780" w:type="dxa"/>
            <w:vAlign w:val="bottom"/>
            <w:gridSpan w:val="3"/>
          </w:tcPr>
          <w:p>
            <w:pPr>
              <w:jc w:val="center"/>
              <w:ind w:left="602"/>
              <w:spacing w:after="0"/>
              <w:rPr>
                <w:sz w:val="20"/>
                <w:szCs w:val="20"/>
                <w:color w:val="auto"/>
              </w:rPr>
            </w:pPr>
            <w:r>
              <w:rPr>
                <w:rFonts w:ascii="Arial" w:cs="Arial" w:eastAsia="Arial" w:hAnsi="Arial"/>
                <w:sz w:val="16"/>
                <w:szCs w:val="16"/>
                <w:b w:val="1"/>
                <w:bCs w:val="1"/>
                <w:color w:val="auto"/>
                <w:w w:val="91"/>
              </w:rPr>
              <w:t>Warminster, Pennsylvania</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tcPr>
          <w:p>
            <w:pPr>
              <w:jc w:val="right"/>
              <w:ind w:right="1963"/>
              <w:spacing w:after="0"/>
              <w:rPr>
                <w:sz w:val="20"/>
                <w:szCs w:val="20"/>
                <w:color w:val="auto"/>
              </w:rPr>
            </w:pPr>
            <w:r>
              <w:rPr>
                <w:rFonts w:ascii="Arial" w:cs="Arial" w:eastAsia="Arial" w:hAnsi="Arial"/>
                <w:sz w:val="16"/>
                <w:szCs w:val="16"/>
                <w:b w:val="1"/>
                <w:bCs w:val="1"/>
                <w:color w:val="auto"/>
              </w:rPr>
              <w:t>18974</w:t>
            </w:r>
          </w:p>
        </w:tc>
      </w:tr>
      <w:tr>
        <w:trPr>
          <w:trHeight w:val="33"/>
        </w:trPr>
        <w:tc>
          <w:tcPr>
            <w:tcW w:w="37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17"/>
        </w:trPr>
        <w:tc>
          <w:tcPr>
            <w:tcW w:w="3780" w:type="dxa"/>
            <w:vAlign w:val="bottom"/>
            <w:gridSpan w:val="3"/>
          </w:tcPr>
          <w:p>
            <w:pPr>
              <w:jc w:val="center"/>
              <w:ind w:left="622"/>
              <w:spacing w:after="0"/>
              <w:rPr>
                <w:sz w:val="20"/>
                <w:szCs w:val="20"/>
                <w:color w:val="auto"/>
              </w:rPr>
            </w:pPr>
            <w:r>
              <w:rPr>
                <w:rFonts w:ascii="Arial" w:cs="Arial" w:eastAsia="Arial" w:hAnsi="Arial"/>
                <w:sz w:val="16"/>
                <w:szCs w:val="16"/>
                <w:color w:val="auto"/>
                <w:w w:val="93"/>
              </w:rPr>
              <w:t>(Address of principal executive offices)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tcPr>
          <w:p>
            <w:pPr>
              <w:jc w:val="center"/>
              <w:ind w:right="1643"/>
              <w:spacing w:after="0"/>
              <w:rPr>
                <w:sz w:val="20"/>
                <w:szCs w:val="20"/>
                <w:color w:val="auto"/>
              </w:rPr>
            </w:pPr>
            <w:r>
              <w:rPr>
                <w:rFonts w:ascii="Arial" w:cs="Arial" w:eastAsia="Arial" w:hAnsi="Arial"/>
                <w:sz w:val="16"/>
                <w:szCs w:val="16"/>
                <w:color w:val="auto"/>
                <w:w w:val="95"/>
              </w:rPr>
              <w:t>(Zip Code)</w:t>
            </w:r>
          </w:p>
        </w:tc>
      </w:tr>
      <w:tr>
        <w:trPr>
          <w:trHeight w:val="401"/>
        </w:trPr>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60" w:type="dxa"/>
            <w:vAlign w:val="bottom"/>
            <w:gridSpan w:val="3"/>
          </w:tcPr>
          <w:p>
            <w:pPr>
              <w:jc w:val="right"/>
              <w:ind w:right="960"/>
              <w:spacing w:after="0"/>
              <w:rPr>
                <w:sz w:val="20"/>
                <w:szCs w:val="20"/>
                <w:color w:val="auto"/>
              </w:rPr>
            </w:pPr>
            <w:r>
              <w:rPr>
                <w:rFonts w:ascii="Arial" w:cs="Arial" w:eastAsia="Arial" w:hAnsi="Arial"/>
                <w:sz w:val="16"/>
                <w:szCs w:val="16"/>
                <w:b w:val="1"/>
                <w:bCs w:val="1"/>
                <w:color w:val="auto"/>
              </w:rPr>
              <w:t>(267) 469-0914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06"/>
        </w:trPr>
        <w:tc>
          <w:tcPr>
            <w:tcW w:w="6380" w:type="dxa"/>
            <w:vAlign w:val="bottom"/>
            <w:gridSpan w:val="8"/>
          </w:tcPr>
          <w:p>
            <w:pPr>
              <w:jc w:val="center"/>
              <w:ind w:left="2662"/>
              <w:spacing w:after="0"/>
              <w:rPr>
                <w:sz w:val="20"/>
                <w:szCs w:val="20"/>
                <w:color w:val="auto"/>
              </w:rPr>
            </w:pPr>
            <w:r>
              <w:rPr>
                <w:rFonts w:ascii="Arial" w:cs="Arial" w:eastAsia="Arial" w:hAnsi="Arial"/>
                <w:sz w:val="16"/>
                <w:szCs w:val="16"/>
                <w:color w:val="auto"/>
                <w:w w:val="90"/>
              </w:rPr>
              <w:t>Registrant’s telephone number, including area code</w:t>
            </w:r>
          </w:p>
        </w:tc>
        <w:tc>
          <w:tcPr>
            <w:tcW w:w="2760" w:type="dxa"/>
            <w:vAlign w:val="bottom"/>
          </w:tcPr>
          <w:p>
            <w:pPr>
              <w:spacing w:after="0"/>
              <w:rPr>
                <w:sz w:val="17"/>
                <w:szCs w:val="17"/>
                <w:color w:val="auto"/>
              </w:rPr>
            </w:pPr>
          </w:p>
        </w:tc>
      </w:tr>
    </w:tbl>
    <w:p>
      <w:pPr>
        <w:spacing w:after="0" w:line="36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4"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74" w:lineRule="exact"/>
        <w:rPr>
          <w:sz w:val="24"/>
          <w:szCs w:val="24"/>
          <w:color w:val="auto"/>
        </w:rPr>
      </w:pPr>
    </w:p>
    <w:p>
      <w:pPr>
        <w:ind w:left="500" w:hanging="307"/>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 pursuant to Rule 14d-2(b) under the Exchange Act (17 CFR 240.14d-2(b))</w:t>
      </w:r>
    </w:p>
    <w:p>
      <w:pPr>
        <w:spacing w:after="0" w:line="184" w:lineRule="exact"/>
        <w:rPr>
          <w:rFonts w:ascii="Arial" w:cs="Arial" w:eastAsia="Arial" w:hAnsi="Arial"/>
          <w:sz w:val="18"/>
          <w:szCs w:val="18"/>
          <w:color w:val="auto"/>
        </w:rPr>
      </w:pPr>
    </w:p>
    <w:p>
      <w:pPr>
        <w:ind w:left="500" w:hanging="307"/>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43" w:lineRule="exact"/>
        <w:rPr>
          <w:sz w:val="24"/>
          <w:szCs w:val="24"/>
          <w:color w:val="auto"/>
        </w:rPr>
      </w:pPr>
    </w:p>
    <w:tbl>
      <w:tblPr>
        <w:tblLayout w:type="fixed"/>
        <w:tblInd w:w="1060" w:type="dxa"/>
        <w:tblCellMar>
          <w:top w:w="0" w:type="dxa"/>
          <w:left w:w="0" w:type="dxa"/>
          <w:bottom w:w="0" w:type="dxa"/>
          <w:right w:w="0" w:type="dxa"/>
        </w:tblCellMar>
      </w:tblPr>
      <w:tr>
        <w:trPr>
          <w:trHeight w:val="192"/>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Pr>
          <w:p>
            <w:pPr>
              <w:spacing w:after="0"/>
              <w:rPr>
                <w:sz w:val="16"/>
                <w:szCs w:val="16"/>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80" w:type="dxa"/>
            <w:vAlign w:val="bottom"/>
          </w:tcPr>
          <w:p>
            <w:pPr>
              <w:spacing w:after="0"/>
              <w:rPr>
                <w:sz w:val="16"/>
                <w:szCs w:val="16"/>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3"/>
        </w:trPr>
        <w:tc>
          <w:tcPr>
            <w:tcW w:w="310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Common Shares, without par value</w:t>
            </w:r>
          </w:p>
        </w:tc>
        <w:tc>
          <w:tcPr>
            <w:tcW w:w="3120" w:type="dxa"/>
            <w:vAlign w:val="bottom"/>
            <w:gridSpan w:val="2"/>
          </w:tcPr>
          <w:p>
            <w:pPr>
              <w:jc w:val="center"/>
              <w:ind w:right="200"/>
              <w:spacing w:after="0"/>
              <w:rPr>
                <w:sz w:val="20"/>
                <w:szCs w:val="20"/>
                <w:color w:val="auto"/>
              </w:rPr>
            </w:pPr>
            <w:r>
              <w:rPr>
                <w:rFonts w:ascii="Arial" w:cs="Arial" w:eastAsia="Arial" w:hAnsi="Arial"/>
                <w:sz w:val="16"/>
                <w:szCs w:val="16"/>
                <w:color w:val="auto"/>
              </w:rPr>
              <w:t>ABUS</w:t>
            </w:r>
          </w:p>
        </w:tc>
        <w:tc>
          <w:tcPr>
            <w:tcW w:w="2920" w:type="dxa"/>
            <w:vAlign w:val="bottom"/>
          </w:tcPr>
          <w:p>
            <w:pPr>
              <w:jc w:val="center"/>
              <w:spacing w:after="0"/>
              <w:rPr>
                <w:sz w:val="20"/>
                <w:szCs w:val="20"/>
                <w:color w:val="auto"/>
              </w:rPr>
            </w:pPr>
            <w:r>
              <w:rPr>
                <w:rFonts w:ascii="Arial" w:cs="Arial" w:eastAsia="Arial" w:hAnsi="Arial"/>
                <w:sz w:val="16"/>
                <w:szCs w:val="16"/>
                <w:color w:val="auto"/>
                <w:w w:val="94"/>
              </w:rPr>
              <w:t>The Nasdaq Stock Market LLC</w:t>
            </w:r>
          </w:p>
        </w:tc>
      </w:tr>
    </w:tbl>
    <w:p>
      <w:pPr>
        <w:spacing w:after="0" w:line="212" w:lineRule="exact"/>
        <w:rPr>
          <w:sz w:val="24"/>
          <w:szCs w:val="24"/>
          <w:color w:val="auto"/>
        </w:rPr>
      </w:pPr>
    </w:p>
    <w:p>
      <w:pPr>
        <w:ind w:right="60"/>
        <w:spacing w:after="0" w:line="25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9340"/>
        <w:spacing w:after="0"/>
        <w:rPr>
          <w:sz w:val="20"/>
          <w:szCs w:val="20"/>
          <w:color w:val="auto"/>
        </w:rPr>
      </w:pPr>
      <w:r>
        <w:rPr>
          <w:rFonts w:ascii="Arial" w:cs="Arial" w:eastAsia="Arial" w:hAnsi="Arial"/>
          <w:sz w:val="14"/>
          <w:szCs w:val="14"/>
          <w:color w:val="auto"/>
        </w:rPr>
        <w:t xml:space="preserve">Emerging growth company </w:t>
      </w:r>
      <w:r>
        <w:rPr>
          <w:rFonts w:ascii="Arial" w:cs="Arial" w:eastAsia="Arial" w:hAnsi="Arial"/>
          <w:sz w:val="15"/>
          <w:szCs w:val="15"/>
          <w:color w:val="auto"/>
        </w:rPr>
        <w:t>o</w:t>
      </w:r>
    </w:p>
    <w:p>
      <w:pPr>
        <w:spacing w:after="0" w:line="235" w:lineRule="exact"/>
        <w:rPr>
          <w:sz w:val="24"/>
          <w:szCs w:val="24"/>
          <w:color w:val="auto"/>
        </w:rPr>
      </w:pPr>
    </w:p>
    <w:p>
      <w:pPr>
        <w:ind w:right="580"/>
        <w:spacing w:after="0" w:line="300"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o</w:t>
      </w:r>
    </w:p>
    <w:p>
      <w:pPr>
        <w:sectPr>
          <w:pgSz w:w="11900" w:h="16838" w:orient="portrait"/>
          <w:cols w:equalWidth="0" w:num="1">
            <w:col w:w="11240"/>
          </w:cols>
          <w:pgMar w:left="320" w:top="1295"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8.01. Other Events.</w:t>
      </w:r>
    </w:p>
    <w:p>
      <w:pPr>
        <w:spacing w:after="0" w:line="39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July 23, 2020 the United States Patent and Trademark Office before the Patent Trial and Appeal Board ("PTAB") announced their decision in Moderna Therapeutics, Inc.'s challenge of the validity of U.S. Patent 8,058,069 ("the '069 Patent"). In this decision the PTAB determined no challenged claims were unpatentable. While Arbutus Biopharma, Inc. ("Arbutus") is the patent holder, this patent has been licensed to Genevant Sciences Ltd. ("Genevant").</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As previously disclosed, in April 2018 Arbutus entered into an agreement with Roivant Sciences Ltd., its largest shareholder, to launch Genevant, a company focused on the discovery, development, and commercialization of a broad range of RNA-based therapeutics enabled by Arbutus' lipid nanoparticle ("LNP") and ligand conjugate delivery technologies. Arbutus licensed exclusive rights to its LNP and ligand conjugate delivery platforms to Genevant for RNA-based applications outside of HBV, except to the extent certain rights had already been licensed to other third parties. Arbutus retained all rights to its LNP and conjugate delivery platforms for HBV. The '069 Patent was included in this license agreement between Genevant and Arbutus.</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Arbutus is entitled to receive tiered low single digit royalties on future sales of Genevant products covered by the licensed patents. If Genevant enters into a sub-license agreement, Arbutus would receive twenty percent of the revenue received by Genevant for this sublicensing of the intellectual property licensed by Arbutus to Genevant.</w:t>
      </w:r>
    </w:p>
    <w:p>
      <w:pPr>
        <w:spacing w:after="0" w:line="19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Arbutus owns approximately 40% of the common equity of Genevant. Genevant has issued convertible debt securities to other investors. If those securities are converted to common shares, or additional capital is invested into Genevant by other parties, Arbutus' ownership interest in Genevant will be significantly diluted. Arbutus' entitlement to receive future royalties or sublicensing revenue will not be reduced by any dilution of Arbutus' equity ownership position in Genevant.</w:t>
      </w:r>
    </w:p>
    <w:p>
      <w:pPr>
        <w:sectPr>
          <w:pgSz w:w="11900" w:h="16838" w:orient="portrait"/>
          <w:cols w:equalWidth="0" w:num="1">
            <w:col w:w="11240"/>
          </w:cols>
          <w:pgMar w:left="320" w:top="1035" w:right="3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20"/>
          <w:szCs w:val="20"/>
          <w:b w:val="1"/>
          <w:bCs w:val="1"/>
          <w:color w:val="auto"/>
        </w:rPr>
        <w:t>SIGNATURE</w:t>
      </w:r>
    </w:p>
    <w:p>
      <w:pPr>
        <w:spacing w:after="0" w:line="235" w:lineRule="exact"/>
        <w:rPr>
          <w:sz w:val="20"/>
          <w:szCs w:val="20"/>
          <w:color w:val="auto"/>
        </w:rPr>
      </w:pPr>
    </w:p>
    <w:p>
      <w:pPr>
        <w:ind w:firstLine="486"/>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6"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Arbutus Biopharma Corporation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20"/>
          <w:szCs w:val="20"/>
          <w:color w:val="auto"/>
        </w:rPr>
        <w:t>Date: July 23, 2020</w:t>
      </w:r>
    </w:p>
    <w:p>
      <w:pPr>
        <w:spacing w:after="0" w:line="54" w:lineRule="exact"/>
        <w:rPr>
          <w:sz w:val="20"/>
          <w:szCs w:val="20"/>
          <w:color w:val="auto"/>
        </w:rPr>
      </w:pPr>
    </w:p>
    <w:p>
      <w:pPr>
        <w:ind w:left="4700"/>
        <w:spacing w:after="0"/>
        <w:tabs>
          <w:tab w:leader="none" w:pos="55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David C.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27305</wp:posOffset>
            </wp:positionV>
            <wp:extent cx="3754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47" w:lineRule="exact"/>
        <w:rPr>
          <w:sz w:val="20"/>
          <w:szCs w:val="20"/>
          <w:color w:val="auto"/>
        </w:rPr>
      </w:pPr>
    </w:p>
    <w:p>
      <w:pPr>
        <w:ind w:left="4700"/>
        <w:spacing w:after="0"/>
        <w:tabs>
          <w:tab w:leader="none" w:pos="55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Financial Officer</w:t>
      </w:r>
    </w:p>
    <w:sectPr>
      <w:pgSz w:w="11900" w:h="16838" w:orient="portrait"/>
      <w:cols w:equalWidth="0" w:num="1">
        <w:col w:w="10700"/>
      </w:cols>
      <w:pgMar w:left="320" w:top="549"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2020-07-24T05:10:31Z</dcterms:created>
  <dcterms:modified xsi:type="dcterms:W3CDTF">2020-07-24T05:10:31Z</dcterms:modified>
</cp:coreProperties>
</file>