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4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Date of Report (Date of earliest event reported): May 26, 2026</w:t>
      </w:r>
    </w:p>
    <w:p>
      <w:pPr>
        <w:spacing w:after="0" w:line="1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3"/>
          <w:szCs w:val="23"/>
          <w:b w:val="1"/>
          <w:bCs w:val="1"/>
          <w:color w:val="auto"/>
        </w:rPr>
        <w:t>Arbutus Biopharma Corporation</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48" w:lineRule="exact"/>
        <w:rPr>
          <w:sz w:val="24"/>
          <w:szCs w:val="24"/>
          <w:color w:val="auto"/>
        </w:rPr>
      </w:pPr>
    </w:p>
    <w:tbl>
      <w:tblPr>
        <w:tblLayout w:type="fixed"/>
        <w:tblInd w:w="2060" w:type="dxa"/>
        <w:tblCellMar>
          <w:top w:w="0" w:type="dxa"/>
          <w:left w:w="0" w:type="dxa"/>
          <w:bottom w:w="0" w:type="dxa"/>
          <w:right w:w="0" w:type="dxa"/>
        </w:tblCellMar>
      </w:tblPr>
      <w:tr>
        <w:trPr>
          <w:trHeight w:val="170"/>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British Columbia, Canada</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5"/>
              </w:rPr>
              <w:t>001-34949</w:t>
            </w:r>
          </w:p>
        </w:tc>
        <w:tc>
          <w:tcPr>
            <w:tcW w:w="20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98-0597776</w:t>
            </w:r>
          </w:p>
        </w:tc>
        <w:tc>
          <w:tcPr>
            <w:tcW w:w="0" w:type="dxa"/>
            <w:vAlign w:val="bottom"/>
          </w:tcPr>
          <w:p>
            <w:pPr>
              <w:spacing w:after="0"/>
              <w:rPr>
                <w:sz w:val="1"/>
                <w:szCs w:val="1"/>
                <w:color w:val="auto"/>
              </w:rPr>
            </w:pPr>
          </w:p>
        </w:tc>
      </w:tr>
      <w:tr>
        <w:trPr>
          <w:trHeight w:val="120"/>
        </w:trPr>
        <w:tc>
          <w:tcPr>
            <w:tcW w:w="2960" w:type="dxa"/>
            <w:vAlign w:val="bottom"/>
            <w:gridSpan w:val="3"/>
          </w:tcPr>
          <w:p>
            <w:pPr>
              <w:jc w:val="center"/>
              <w:ind w:right="720"/>
              <w:spacing w:after="0" w:line="120" w:lineRule="exact"/>
              <w:rPr>
                <w:sz w:val="20"/>
                <w:szCs w:val="20"/>
                <w:color w:val="auto"/>
              </w:rPr>
            </w:pPr>
            <w:r>
              <w:rPr>
                <w:rFonts w:ascii="Times New Roman" w:cs="Times New Roman" w:eastAsia="Times New Roman" w:hAnsi="Times New Roman"/>
                <w:sz w:val="11"/>
                <w:szCs w:val="11"/>
                <w:color w:val="auto"/>
              </w:rPr>
              <w:t>(State or other jurisdiction</w:t>
            </w:r>
          </w:p>
        </w:tc>
        <w:tc>
          <w:tcPr>
            <w:tcW w:w="1940" w:type="dxa"/>
            <w:vAlign w:val="bottom"/>
            <w:gridSpan w:val="4"/>
          </w:tcPr>
          <w:p>
            <w:pPr>
              <w:jc w:val="center"/>
              <w:ind w:right="720"/>
              <w:spacing w:after="0" w:line="120" w:lineRule="exact"/>
              <w:rPr>
                <w:sz w:val="20"/>
                <w:szCs w:val="20"/>
                <w:color w:val="auto"/>
              </w:rPr>
            </w:pPr>
            <w:r>
              <w:rPr>
                <w:rFonts w:ascii="Times New Roman" w:cs="Times New Roman" w:eastAsia="Times New Roman" w:hAnsi="Times New Roman"/>
                <w:sz w:val="11"/>
                <w:szCs w:val="11"/>
                <w:color w:val="auto"/>
              </w:rPr>
              <w:t>(Commission</w:t>
            </w:r>
          </w:p>
        </w:tc>
        <w:tc>
          <w:tcPr>
            <w:tcW w:w="228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color w:val="auto"/>
              </w:rPr>
              <w:t>(IRS Employer</w:t>
            </w:r>
          </w:p>
        </w:tc>
        <w:tc>
          <w:tcPr>
            <w:tcW w:w="0" w:type="dxa"/>
            <w:vAlign w:val="bottom"/>
          </w:tcPr>
          <w:p>
            <w:pPr>
              <w:spacing w:after="0"/>
              <w:rPr>
                <w:sz w:val="1"/>
                <w:szCs w:val="1"/>
                <w:color w:val="auto"/>
              </w:rPr>
            </w:pPr>
          </w:p>
        </w:tc>
      </w:tr>
      <w:tr>
        <w:trPr>
          <w:trHeight w:val="147"/>
        </w:trPr>
        <w:tc>
          <w:tcPr>
            <w:tcW w:w="2960" w:type="dxa"/>
            <w:vAlign w:val="bottom"/>
            <w:gridSpan w:val="3"/>
          </w:tcPr>
          <w:p>
            <w:pPr>
              <w:jc w:val="center"/>
              <w:ind w:right="720"/>
              <w:spacing w:after="0"/>
              <w:rPr>
                <w:sz w:val="20"/>
                <w:szCs w:val="20"/>
                <w:color w:val="auto"/>
              </w:rPr>
            </w:pPr>
            <w:r>
              <w:rPr>
                <w:rFonts w:ascii="Times New Roman" w:cs="Times New Roman" w:eastAsia="Times New Roman" w:hAnsi="Times New Roman"/>
                <w:sz w:val="11"/>
                <w:szCs w:val="11"/>
                <w:color w:val="auto"/>
              </w:rPr>
              <w:t>of incorporation)</w:t>
            </w:r>
          </w:p>
        </w:tc>
        <w:tc>
          <w:tcPr>
            <w:tcW w:w="1940" w:type="dxa"/>
            <w:vAlign w:val="bottom"/>
            <w:gridSpan w:val="4"/>
          </w:tcPr>
          <w:p>
            <w:pPr>
              <w:jc w:val="center"/>
              <w:ind w:right="720"/>
              <w:spacing w:after="0"/>
              <w:rPr>
                <w:sz w:val="20"/>
                <w:szCs w:val="20"/>
                <w:color w:val="auto"/>
              </w:rPr>
            </w:pPr>
            <w:r>
              <w:rPr>
                <w:rFonts w:ascii="Times New Roman" w:cs="Times New Roman" w:eastAsia="Times New Roman" w:hAnsi="Times New Roman"/>
                <w:sz w:val="11"/>
                <w:szCs w:val="11"/>
                <w:color w:val="auto"/>
              </w:rPr>
              <w:t>File Number)</w:t>
            </w:r>
          </w:p>
        </w:tc>
        <w:tc>
          <w:tcPr>
            <w:tcW w:w="2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Identification No.)</w:t>
            </w:r>
          </w:p>
        </w:tc>
        <w:tc>
          <w:tcPr>
            <w:tcW w:w="0" w:type="dxa"/>
            <w:vAlign w:val="bottom"/>
          </w:tcPr>
          <w:p>
            <w:pPr>
              <w:spacing w:after="0"/>
              <w:rPr>
                <w:sz w:val="1"/>
                <w:szCs w:val="1"/>
                <w:color w:val="auto"/>
              </w:rPr>
            </w:pPr>
          </w:p>
        </w:tc>
      </w:tr>
      <w:tr>
        <w:trPr>
          <w:trHeight w:val="479"/>
        </w:trPr>
        <w:tc>
          <w:tcPr>
            <w:tcW w:w="2960" w:type="dxa"/>
            <w:vAlign w:val="bottom"/>
            <w:gridSpan w:val="3"/>
          </w:tcPr>
          <w:p>
            <w:pPr>
              <w:jc w:val="center"/>
              <w:ind w:left="439"/>
              <w:spacing w:after="0"/>
              <w:rPr>
                <w:sz w:val="20"/>
                <w:szCs w:val="20"/>
                <w:color w:val="auto"/>
              </w:rPr>
            </w:pPr>
            <w:r>
              <w:rPr>
                <w:rFonts w:ascii="Times New Roman" w:cs="Times New Roman" w:eastAsia="Times New Roman" w:hAnsi="Times New Roman"/>
                <w:sz w:val="13"/>
                <w:szCs w:val="13"/>
                <w:b w:val="1"/>
                <w:bCs w:val="1"/>
                <w:color w:val="auto"/>
                <w:w w:val="96"/>
              </w:rPr>
              <w:t>701 Veterans Circle</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vMerge w:val="restart"/>
          </w:tcPr>
          <w:p>
            <w:pPr>
              <w:jc w:val="right"/>
              <w:ind w:right="1539"/>
              <w:spacing w:after="0"/>
              <w:rPr>
                <w:sz w:val="20"/>
                <w:szCs w:val="20"/>
                <w:color w:val="auto"/>
              </w:rPr>
            </w:pPr>
            <w:r>
              <w:rPr>
                <w:rFonts w:ascii="Times New Roman" w:cs="Times New Roman" w:eastAsia="Times New Roman" w:hAnsi="Times New Roman"/>
                <w:sz w:val="13"/>
                <w:szCs w:val="13"/>
                <w:b w:val="1"/>
                <w:bCs w:val="1"/>
                <w:color w:val="auto"/>
              </w:rPr>
              <w:t>18974</w:t>
            </w:r>
          </w:p>
        </w:tc>
        <w:tc>
          <w:tcPr>
            <w:tcW w:w="0" w:type="dxa"/>
            <w:vAlign w:val="bottom"/>
          </w:tcPr>
          <w:p>
            <w:pPr>
              <w:spacing w:after="0"/>
              <w:rPr>
                <w:sz w:val="1"/>
                <w:szCs w:val="1"/>
                <w:color w:val="auto"/>
              </w:rPr>
            </w:pPr>
          </w:p>
        </w:tc>
      </w:tr>
      <w:tr>
        <w:trPr>
          <w:trHeight w:val="169"/>
        </w:trPr>
        <w:tc>
          <w:tcPr>
            <w:tcW w:w="296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3"/>
                <w:szCs w:val="13"/>
                <w:b w:val="1"/>
                <w:bCs w:val="1"/>
                <w:color w:val="auto"/>
                <w:w w:val="97"/>
              </w:rPr>
              <w:t>Warminster, Pennsylvania</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60" w:type="dxa"/>
            <w:vAlign w:val="bottom"/>
            <w:gridSpan w:val="3"/>
          </w:tcPr>
          <w:p>
            <w:pPr>
              <w:jc w:val="center"/>
              <w:ind w:left="439"/>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tcPr>
          <w:p>
            <w:pPr>
              <w:jc w:val="center"/>
              <w:ind w:right="1179"/>
              <w:spacing w:after="0"/>
              <w:rPr>
                <w:sz w:val="20"/>
                <w:szCs w:val="20"/>
                <w:color w:val="auto"/>
              </w:rPr>
            </w:pPr>
            <w:r>
              <w:rPr>
                <w:rFonts w:ascii="Times New Roman" w:cs="Times New Roman" w:eastAsia="Times New Roman" w:hAnsi="Times New Roman"/>
                <w:sz w:val="13"/>
                <w:szCs w:val="13"/>
                <w:color w:val="auto"/>
                <w:w w:val="97"/>
              </w:rPr>
              <w:t>(Zip Code)</w:t>
            </w:r>
          </w:p>
        </w:tc>
        <w:tc>
          <w:tcPr>
            <w:tcW w:w="0" w:type="dxa"/>
            <w:vAlign w:val="bottom"/>
          </w:tcPr>
          <w:p>
            <w:pPr>
              <w:spacing w:after="0"/>
              <w:rPr>
                <w:sz w:val="1"/>
                <w:szCs w:val="1"/>
                <w:color w:val="auto"/>
              </w:rPr>
            </w:pPr>
          </w:p>
        </w:tc>
      </w:tr>
      <w:tr>
        <w:trPr>
          <w:trHeight w:val="376"/>
        </w:trPr>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8"/>
              </w:rPr>
              <w:t>(267) 469-0914</w:t>
            </w: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266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ind w:left="2340" w:hanging="234"/>
        <w:spacing w:after="0"/>
        <w:tabs>
          <w:tab w:leader="none" w:pos="2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3" w:lineRule="exact"/>
        <w:rPr>
          <w:rFonts w:ascii="MS PGothic" w:cs="MS PGothic" w:eastAsia="MS PGothic" w:hAnsi="MS PGothic"/>
          <w:sz w:val="14"/>
          <w:szCs w:val="14"/>
          <w:color w:val="auto"/>
        </w:rPr>
      </w:pPr>
    </w:p>
    <w:p>
      <w:pPr>
        <w:ind w:left="2340" w:hanging="234"/>
        <w:spacing w:after="0"/>
        <w:tabs>
          <w:tab w:leader="none" w:pos="2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3" w:lineRule="exact"/>
        <w:rPr>
          <w:rFonts w:ascii="MS PGothic" w:cs="MS PGothic" w:eastAsia="MS PGothic" w:hAnsi="MS PGothic"/>
          <w:sz w:val="14"/>
          <w:szCs w:val="14"/>
          <w:color w:val="auto"/>
        </w:rPr>
      </w:pPr>
    </w:p>
    <w:p>
      <w:pPr>
        <w:ind w:left="2340" w:hanging="234"/>
        <w:spacing w:after="0"/>
        <w:tabs>
          <w:tab w:leader="none" w:pos="2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3" w:lineRule="exact"/>
        <w:rPr>
          <w:rFonts w:ascii="MS PGothic" w:cs="MS PGothic" w:eastAsia="MS PGothic" w:hAnsi="MS PGothic"/>
          <w:sz w:val="14"/>
          <w:szCs w:val="14"/>
          <w:color w:val="auto"/>
        </w:rPr>
      </w:pPr>
    </w:p>
    <w:p>
      <w:pPr>
        <w:ind w:left="2340" w:hanging="234"/>
        <w:spacing w:after="0"/>
        <w:tabs>
          <w:tab w:leader="none" w:pos="2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45" w:lineRule="exact"/>
        <w:rPr>
          <w:sz w:val="24"/>
          <w:szCs w:val="24"/>
          <w:color w:val="auto"/>
        </w:rPr>
      </w:pPr>
    </w:p>
    <w:tbl>
      <w:tblPr>
        <w:tblLayout w:type="fixed"/>
        <w:tblInd w:w="2060" w:type="dxa"/>
        <w:tblCellMar>
          <w:top w:w="0" w:type="dxa"/>
          <w:left w:w="0" w:type="dxa"/>
          <w:bottom w:w="0" w:type="dxa"/>
          <w:right w:w="0" w:type="dxa"/>
        </w:tblCellMar>
      </w:tblPr>
      <w:tr>
        <w:trPr>
          <w:trHeight w:val="158"/>
        </w:trPr>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65"/>
        </w:trPr>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Shares, without par value</w:t>
            </w:r>
          </w:p>
        </w:tc>
        <w:tc>
          <w:tcPr>
            <w:tcW w:w="200" w:type="dxa"/>
            <w:vAlign w:val="bottom"/>
          </w:tcPr>
          <w:p>
            <w:pPr>
              <w:spacing w:after="0"/>
              <w:rPr>
                <w:sz w:val="14"/>
                <w:szCs w:val="14"/>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ABUS</w:t>
            </w:r>
          </w:p>
        </w:tc>
        <w:tc>
          <w:tcPr>
            <w:tcW w:w="200" w:type="dxa"/>
            <w:vAlign w:val="bottom"/>
          </w:tcPr>
          <w:p>
            <w:pPr>
              <w:spacing w:after="0"/>
              <w:rPr>
                <w:sz w:val="14"/>
                <w:szCs w:val="14"/>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bl>
    <w:p>
      <w:pPr>
        <w:spacing w:after="0" w:line="216" w:lineRule="exact"/>
        <w:rPr>
          <w:sz w:val="24"/>
          <w:szCs w:val="24"/>
          <w:color w:val="auto"/>
        </w:rPr>
      </w:pPr>
    </w:p>
    <w:p>
      <w:pPr>
        <w:ind w:right="220"/>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520"/>
        <w:spacing w:after="0" w:line="161"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4"/>
          <w:szCs w:val="14"/>
          <w:color w:val="auto"/>
        </w:rPr>
        <w:t>☐</w:t>
      </w:r>
    </w:p>
    <w:p>
      <w:pPr>
        <w:spacing w:after="0" w:line="203"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541020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799"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2026 Omnibus Share and Incentive Plan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May 26, 2026, Arbutus Biopharma Corporation (the “Company”) held its 2026 Annual General and Special Meeting of Shareholders (the “Annual Meeting”). At the Annual Meeting, the Company’s shareholders, upon the recommendation of the Company’s Board of Directors (the “Board”), approved the adoption of the Company’s 2026 Omnibus Share and Incentive Plan (the “2026 Plan”). The 2026 Plan replaces the Company’s 2011 Omnibus Share Compensation Plan and 2016 Omnibus Share and Incentive Plan. The 2026 Plan was previously approved by the Board, subject to shareholder approval, on April 10, 2026.</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2026 Plan authorizes for issuance an aggregate of 16,300,000 of the Company’s common shares, without par value. Additional information regarding the 2026 Plan, including a summary of the material terms of the 2026 Plan, is set forth in the Company’s Management Proxy Circular and Proxy Statement filed with the U.S. Securities and Exchange Commission on April 14, 2026 (the “Proxy Statement/Circular”). Such information and the foregoing description of the 2026 Plan do not purport to be complete and are qualified in their entirety by reference to the full text of the 2026 Plan, a copy of which is filed as Exhibit 10.1 to this Current Report on Form 8-K and is incorporated herein by reference.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5.07 Submission of Matters to a Vote of Security Holders.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May 26, 2026, the Company held the Annual Meeting. At the Annual Meeting, the Company’s shareholders voted and: (1) elected each of the Company’s nominees for director; (2) approved the adoption of the 2026 Plan, (3) approved, on a non-binding advisory basis, the compensation of the Company’s named executive officers as disclosed in the Proxy Statement/Circular; and (4) approved the appointment of Ernst &amp; Young LLP as the Company’s independent registered public accounting firm for the fiscal year ending December 31, 2026. Set forth below are the final voting results for each of the proposals submitted to a vote of the Company’s shareholders at the Annual Meeting.</w:t>
      </w:r>
    </w:p>
    <w:p>
      <w:pPr>
        <w:spacing w:after="0" w:line="191" w:lineRule="exact"/>
        <w:rPr>
          <w:sz w:val="20"/>
          <w:szCs w:val="20"/>
          <w:color w:val="auto"/>
        </w:rPr>
      </w:pPr>
    </w:p>
    <w:p>
      <w:pPr>
        <w:ind w:left="1220" w:right="80" w:hanging="1198"/>
        <w:spacing w:after="0" w:line="242" w:lineRule="auto"/>
        <w:tabs>
          <w:tab w:leader="none" w:pos="1200" w:val="left"/>
        </w:tabs>
        <w:rPr>
          <w:sz w:val="20"/>
          <w:szCs w:val="20"/>
          <w:color w:val="auto"/>
        </w:rPr>
      </w:pPr>
      <w:r>
        <w:rPr>
          <w:rFonts w:ascii="Times New Roman" w:cs="Times New Roman" w:eastAsia="Times New Roman" w:hAnsi="Times New Roman"/>
          <w:sz w:val="14"/>
          <w:szCs w:val="14"/>
          <w:b w:val="1"/>
          <w:bCs w:val="1"/>
          <w:color w:val="auto"/>
        </w:rPr>
        <w:t>Proposal 1.</w:t>
      </w:r>
      <w:r>
        <w:rPr>
          <w:sz w:val="20"/>
          <w:szCs w:val="20"/>
          <w:color w:val="auto"/>
        </w:rPr>
        <w:tab/>
      </w:r>
      <w:r>
        <w:rPr>
          <w:rFonts w:ascii="Times New Roman" w:cs="Times New Roman" w:eastAsia="Times New Roman" w:hAnsi="Times New Roman"/>
          <w:sz w:val="14"/>
          <w:szCs w:val="14"/>
          <w:b w:val="1"/>
          <w:bCs w:val="1"/>
          <w:color w:val="auto"/>
        </w:rPr>
        <w:t>To elect the five (5) director nominees named in the Proxy Statement/Circular each to serve until the 2027 Annual General Meeting of Shareholders or until his or her qualified successor has been duly elected or appointed: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gridSpan w:val="2"/>
            <w:vMerge w:val="restart"/>
          </w:tcPr>
          <w:p>
            <w:pPr>
              <w:ind w:left="1920"/>
              <w:spacing w:after="0"/>
              <w:rPr>
                <w:sz w:val="20"/>
                <w:szCs w:val="20"/>
                <w:color w:val="auto"/>
              </w:rPr>
            </w:pPr>
            <w:r>
              <w:rPr>
                <w:rFonts w:ascii="Times New Roman" w:cs="Times New Roman" w:eastAsia="Times New Roman" w:hAnsi="Times New Roman"/>
                <w:sz w:val="13"/>
                <w:szCs w:val="13"/>
                <w:b w:val="1"/>
                <w:bCs w:val="1"/>
                <w:color w:val="auto"/>
              </w:rPr>
              <w:t>Nominee</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Votes</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Votes</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Broker</w:t>
            </w:r>
          </w:p>
        </w:tc>
        <w:tc>
          <w:tcPr>
            <w:tcW w:w="0" w:type="dxa"/>
            <w:vAlign w:val="bottom"/>
          </w:tcPr>
          <w:p>
            <w:pPr>
              <w:spacing w:after="0"/>
              <w:rPr>
                <w:sz w:val="1"/>
                <w:szCs w:val="1"/>
                <w:color w:val="auto"/>
              </w:rPr>
            </w:pPr>
          </w:p>
        </w:tc>
      </w:tr>
      <w:tr>
        <w:trPr>
          <w:trHeight w:val="169"/>
        </w:trPr>
        <w:tc>
          <w:tcPr>
            <w:tcW w:w="4400" w:type="dxa"/>
            <w:vAlign w:val="bottom"/>
            <w:gridSpan w:val="2"/>
            <w:vMerge w:val="continue"/>
          </w:tcPr>
          <w:p>
            <w:pPr>
              <w:spacing w:after="0"/>
              <w:rPr>
                <w:sz w:val="14"/>
                <w:szCs w:val="14"/>
                <w:color w:val="auto"/>
              </w:rPr>
            </w:pP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Withheld</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Non-Votes</w:t>
            </w:r>
          </w:p>
        </w:tc>
        <w:tc>
          <w:tcPr>
            <w:tcW w:w="0" w:type="dxa"/>
            <w:vAlign w:val="bottom"/>
          </w:tcPr>
          <w:p>
            <w:pPr>
              <w:spacing w:after="0"/>
              <w:rPr>
                <w:sz w:val="1"/>
                <w:szCs w:val="1"/>
                <w:color w:val="auto"/>
              </w:rPr>
            </w:pPr>
          </w:p>
        </w:tc>
      </w:tr>
      <w:tr>
        <w:trPr>
          <w:trHeight w:val="172"/>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Lindsay Androski, JD, MBA, CFA</w:t>
            </w:r>
          </w:p>
        </w:tc>
        <w:tc>
          <w:tcPr>
            <w:tcW w:w="8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136,780,089</w:t>
            </w:r>
          </w:p>
        </w:tc>
        <w:tc>
          <w:tcPr>
            <w:tcW w:w="8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9,693,538</w:t>
            </w:r>
          </w:p>
        </w:tc>
        <w:tc>
          <w:tcPr>
            <w:tcW w:w="8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22,829,831</w:t>
            </w:r>
          </w:p>
        </w:tc>
        <w:tc>
          <w:tcPr>
            <w:tcW w:w="0" w:type="dxa"/>
            <w:vAlign w:val="bottom"/>
          </w:tcPr>
          <w:p>
            <w:pPr>
              <w:spacing w:after="0"/>
              <w:rPr>
                <w:sz w:val="1"/>
                <w:szCs w:val="1"/>
                <w:color w:val="auto"/>
              </w:rPr>
            </w:pP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Robert Alan Beardsley</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138,456,756</w:t>
            </w:r>
          </w:p>
        </w:tc>
        <w:tc>
          <w:tcPr>
            <w:tcW w:w="8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8,016,871</w:t>
            </w:r>
          </w:p>
        </w:tc>
        <w:tc>
          <w:tcPr>
            <w:tcW w:w="8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22,829,831</w:t>
            </w:r>
          </w:p>
        </w:tc>
        <w:tc>
          <w:tcPr>
            <w:tcW w:w="0" w:type="dxa"/>
            <w:vAlign w:val="bottom"/>
          </w:tcPr>
          <w:p>
            <w:pPr>
              <w:spacing w:after="0"/>
              <w:rPr>
                <w:sz w:val="1"/>
                <w:szCs w:val="1"/>
                <w:color w:val="auto"/>
              </w:rPr>
            </w:pP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Joseph Bishop</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137,372,240</w:t>
            </w:r>
          </w:p>
        </w:tc>
        <w:tc>
          <w:tcPr>
            <w:tcW w:w="8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9,101,387</w:t>
            </w:r>
          </w:p>
        </w:tc>
        <w:tc>
          <w:tcPr>
            <w:tcW w:w="8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22,829,831</w:t>
            </w:r>
          </w:p>
        </w:tc>
        <w:tc>
          <w:tcPr>
            <w:tcW w:w="0" w:type="dxa"/>
            <w:vAlign w:val="bottom"/>
          </w:tcPr>
          <w:p>
            <w:pPr>
              <w:spacing w:after="0"/>
              <w:rPr>
                <w:sz w:val="1"/>
                <w:szCs w:val="1"/>
                <w:color w:val="auto"/>
              </w:rPr>
            </w:pP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Matthew Gline</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126,670,273</w:t>
            </w:r>
          </w:p>
        </w:tc>
        <w:tc>
          <w:tcPr>
            <w:tcW w:w="8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19,803,354</w:t>
            </w:r>
          </w:p>
        </w:tc>
        <w:tc>
          <w:tcPr>
            <w:tcW w:w="8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22,829,831</w:t>
            </w:r>
          </w:p>
        </w:tc>
        <w:tc>
          <w:tcPr>
            <w:tcW w:w="0" w:type="dxa"/>
            <w:vAlign w:val="bottom"/>
          </w:tcPr>
          <w:p>
            <w:pPr>
              <w:spacing w:after="0"/>
              <w:rPr>
                <w:sz w:val="1"/>
                <w:szCs w:val="1"/>
                <w:color w:val="auto"/>
              </w:rPr>
            </w:pP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Roger Sawhney, MD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139,299,405</w:t>
            </w:r>
          </w:p>
        </w:tc>
        <w:tc>
          <w:tcPr>
            <w:tcW w:w="8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7,174,222</w:t>
            </w:r>
          </w:p>
        </w:tc>
        <w:tc>
          <w:tcPr>
            <w:tcW w:w="8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22,829,831</w:t>
            </w: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Proposal 2.</w:t>
            </w:r>
          </w:p>
        </w:tc>
        <w:tc>
          <w:tcPr>
            <w:tcW w:w="76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To approve the adoption of the Arbutus Biopharma Corporation 2026 Omnibus Share and Incentive Plan:</w:t>
            </w: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980" w:type="dxa"/>
            <w:vAlign w:val="bottom"/>
            <w:gridSpan w:val="2"/>
          </w:tcPr>
          <w:p>
            <w:pPr>
              <w:jc w:val="center"/>
              <w:ind w:right="940"/>
              <w:spacing w:after="0"/>
              <w:rPr>
                <w:sz w:val="20"/>
                <w:szCs w:val="20"/>
                <w:color w:val="auto"/>
              </w:rPr>
            </w:pPr>
            <w:r>
              <w:rPr>
                <w:rFonts w:ascii="Times New Roman" w:cs="Times New Roman" w:eastAsia="Times New Roman" w:hAnsi="Times New Roman"/>
                <w:sz w:val="13"/>
                <w:szCs w:val="13"/>
                <w:b w:val="1"/>
                <w:bCs w:val="1"/>
                <w:color w:val="auto"/>
                <w:w w:val="90"/>
              </w:rPr>
              <w:t>Votes</w:t>
            </w: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Votes 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Votes</w:t>
            </w: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Broker</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980" w:type="dxa"/>
            <w:vAlign w:val="bottom"/>
            <w:gridSpan w:val="2"/>
          </w:tcPr>
          <w:p>
            <w:pPr>
              <w:jc w:val="center"/>
              <w:ind w:right="940"/>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2840" w:type="dxa"/>
            <w:vAlign w:val="bottom"/>
            <w:gridSpan w:val="2"/>
            <w:vMerge w:val="continue"/>
          </w:tcPr>
          <w:p>
            <w:pPr>
              <w:spacing w:after="0"/>
              <w:rPr>
                <w:sz w:val="14"/>
                <w:szCs w:val="14"/>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Abstained</w:t>
            </w: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Non-Votes</w:t>
            </w:r>
          </w:p>
        </w:tc>
        <w:tc>
          <w:tcPr>
            <w:tcW w:w="0" w:type="dxa"/>
            <w:vAlign w:val="bottom"/>
          </w:tcPr>
          <w:p>
            <w:pPr>
              <w:spacing w:after="0"/>
              <w:rPr>
                <w:sz w:val="1"/>
                <w:szCs w:val="1"/>
                <w:color w:val="auto"/>
              </w:rPr>
            </w:pPr>
          </w:p>
        </w:tc>
      </w:tr>
      <w:tr>
        <w:trPr>
          <w:trHeight w:val="172"/>
        </w:trPr>
        <w:tc>
          <w:tcPr>
            <w:tcW w:w="860" w:type="dxa"/>
            <w:vAlign w:val="bottom"/>
            <w:tcBorders>
              <w:top w:val="single" w:sz="8" w:color="auto"/>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jc w:val="center"/>
              <w:ind w:right="793"/>
              <w:spacing w:after="0"/>
              <w:rPr>
                <w:sz w:val="20"/>
                <w:szCs w:val="20"/>
                <w:color w:val="auto"/>
              </w:rPr>
            </w:pPr>
            <w:r>
              <w:rPr>
                <w:rFonts w:ascii="Times New Roman" w:cs="Times New Roman" w:eastAsia="Times New Roman" w:hAnsi="Times New Roman"/>
                <w:sz w:val="14"/>
                <w:szCs w:val="14"/>
                <w:color w:val="auto"/>
              </w:rPr>
              <w:t>138,877,189</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4"/>
                <w:szCs w:val="14"/>
                <w:color w:val="auto"/>
              </w:rPr>
              <w:t>7,408,185</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188,253</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22,829,831</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Proposal 3.</w:t>
      </w:r>
      <w:r>
        <w:rPr>
          <w:sz w:val="20"/>
          <w:szCs w:val="20"/>
          <w:color w:val="auto"/>
        </w:rPr>
        <w:tab/>
      </w:r>
      <w:r>
        <w:rPr>
          <w:rFonts w:ascii="Times New Roman" w:cs="Times New Roman" w:eastAsia="Times New Roman" w:hAnsi="Times New Roman"/>
          <w:sz w:val="14"/>
          <w:szCs w:val="14"/>
          <w:b w:val="1"/>
          <w:bCs w:val="1"/>
          <w:color w:val="auto"/>
        </w:rPr>
        <w:t>To approve, on a non-binding advisory basis, the compensation of the Company’s named executive officers as disclosed in the Proxy Statement/Circular: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Votes</w:t>
            </w: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Votes 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Votes</w:t>
            </w: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Broker</w:t>
            </w:r>
          </w:p>
        </w:tc>
        <w:tc>
          <w:tcPr>
            <w:tcW w:w="0" w:type="dxa"/>
            <w:vAlign w:val="bottom"/>
          </w:tcPr>
          <w:p>
            <w:pPr>
              <w:spacing w:after="0"/>
              <w:rPr>
                <w:sz w:val="1"/>
                <w:szCs w:val="1"/>
                <w:color w:val="auto"/>
              </w:rPr>
            </w:pPr>
          </w:p>
        </w:tc>
      </w:tr>
      <w:tr>
        <w:trPr>
          <w:trHeight w:val="169"/>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2840" w:type="dxa"/>
            <w:vAlign w:val="bottom"/>
            <w:gridSpan w:val="2"/>
            <w:vMerge w:val="continue"/>
          </w:tcPr>
          <w:p>
            <w:pPr>
              <w:spacing w:after="0"/>
              <w:rPr>
                <w:sz w:val="14"/>
                <w:szCs w:val="14"/>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Abstained</w:t>
            </w: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Non-Votes</w:t>
            </w:r>
          </w:p>
        </w:tc>
        <w:tc>
          <w:tcPr>
            <w:tcW w:w="0" w:type="dxa"/>
            <w:vAlign w:val="bottom"/>
          </w:tcPr>
          <w:p>
            <w:pPr>
              <w:spacing w:after="0"/>
              <w:rPr>
                <w:sz w:val="1"/>
                <w:szCs w:val="1"/>
                <w:color w:val="auto"/>
              </w:rPr>
            </w:pPr>
          </w:p>
        </w:tc>
      </w:tr>
      <w:tr>
        <w:trPr>
          <w:trHeight w:val="172"/>
        </w:trPr>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137,629,207</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4"/>
                <w:szCs w:val="14"/>
                <w:color w:val="auto"/>
              </w:rPr>
              <w:t>8,331,760</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512,660</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22,829,831</w:t>
            </w:r>
          </w:p>
        </w:tc>
        <w:tc>
          <w:tcPr>
            <w:tcW w:w="0" w:type="dxa"/>
            <w:vAlign w:val="bottom"/>
          </w:tcPr>
          <w:p>
            <w:pPr>
              <w:spacing w:after="0"/>
              <w:rPr>
                <w:sz w:val="1"/>
                <w:szCs w:val="1"/>
                <w:color w:val="auto"/>
              </w:rPr>
            </w:pPr>
          </w:p>
        </w:tc>
      </w:tr>
      <w:tr>
        <w:trPr>
          <w:trHeight w:val="1147"/>
        </w:trPr>
        <w:tc>
          <w:tcPr>
            <w:tcW w:w="2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03" w:right="319" w:bottom="1440" w:gutter="0" w:footer="0" w:header="0"/>
        </w:sectPr>
      </w:pPr>
    </w:p>
    <w:bookmarkStart w:id="2" w:name="page3"/>
    <w:bookmarkEnd w:id="2"/>
    <w:p>
      <w:pPr>
        <w:ind w:left="20"/>
        <w:spacing w:after="0"/>
        <w:tabs>
          <w:tab w:leader="none" w:pos="1180" w:val="left"/>
        </w:tabs>
        <w:rPr>
          <w:sz w:val="20"/>
          <w:szCs w:val="20"/>
          <w:color w:val="auto"/>
        </w:rPr>
      </w:pPr>
      <w:r>
        <w:rPr>
          <w:rFonts w:ascii="Times New Roman" w:cs="Times New Roman" w:eastAsia="Times New Roman" w:hAnsi="Times New Roman"/>
          <w:sz w:val="14"/>
          <w:szCs w:val="14"/>
          <w:b w:val="1"/>
          <w:bCs w:val="1"/>
          <w:color w:val="auto"/>
        </w:rPr>
        <w:t>Proposal 4.</w:t>
      </w:r>
      <w:r>
        <w:rPr>
          <w:sz w:val="20"/>
          <w:szCs w:val="20"/>
          <w:color w:val="auto"/>
        </w:rPr>
        <w:tab/>
      </w:r>
      <w:r>
        <w:rPr>
          <w:rFonts w:ascii="Times New Roman" w:cs="Times New Roman" w:eastAsia="Times New Roman" w:hAnsi="Times New Roman"/>
          <w:sz w:val="14"/>
          <w:szCs w:val="14"/>
          <w:b w:val="1"/>
          <w:bCs w:val="1"/>
          <w:color w:val="auto"/>
        </w:rPr>
        <w:t>To approve the appointment of Ernst &amp; Young LLP as the Company’s independent registered public accounting firm for the fiscal year ending December 31, 2026: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Votes</w:t>
            </w: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Votes 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Votes</w:t>
            </w: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Broker</w:t>
            </w:r>
          </w:p>
        </w:tc>
        <w:tc>
          <w:tcPr>
            <w:tcW w:w="0" w:type="dxa"/>
            <w:vAlign w:val="bottom"/>
          </w:tcPr>
          <w:p>
            <w:pPr>
              <w:spacing w:after="0"/>
              <w:rPr>
                <w:sz w:val="1"/>
                <w:szCs w:val="1"/>
                <w:color w:val="auto"/>
              </w:rPr>
            </w:pPr>
          </w:p>
        </w:tc>
      </w:tr>
      <w:tr>
        <w:trPr>
          <w:trHeight w:val="169"/>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2840" w:type="dxa"/>
            <w:vAlign w:val="bottom"/>
            <w:gridSpan w:val="2"/>
            <w:vMerge w:val="continue"/>
          </w:tcPr>
          <w:p>
            <w:pPr>
              <w:spacing w:after="0"/>
              <w:rPr>
                <w:sz w:val="14"/>
                <w:szCs w:val="14"/>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Abstained</w:t>
            </w: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Non-Votes</w:t>
            </w:r>
          </w:p>
        </w:tc>
        <w:tc>
          <w:tcPr>
            <w:tcW w:w="0" w:type="dxa"/>
            <w:vAlign w:val="bottom"/>
          </w:tcPr>
          <w:p>
            <w:pPr>
              <w:spacing w:after="0"/>
              <w:rPr>
                <w:sz w:val="1"/>
                <w:szCs w:val="1"/>
                <w:color w:val="auto"/>
              </w:rPr>
            </w:pPr>
          </w:p>
        </w:tc>
      </w:tr>
      <w:tr>
        <w:trPr>
          <w:trHeight w:val="172"/>
        </w:trPr>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164,372,596</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4"/>
                <w:szCs w:val="14"/>
                <w:color w:val="auto"/>
              </w:rPr>
              <w:t>2,123,916</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2,806,946</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4"/>
              </w:rPr>
              <w:t>Exhibit Number</w:t>
            </w:r>
          </w:p>
        </w:tc>
        <w:tc>
          <w:tcPr>
            <w:tcW w:w="340" w:type="dxa"/>
            <w:vAlign w:val="bottom"/>
          </w:tcPr>
          <w:p>
            <w:pPr>
              <w:spacing w:after="0"/>
              <w:rPr>
                <w:sz w:val="12"/>
                <w:szCs w:val="12"/>
                <w:color w:val="auto"/>
              </w:rPr>
            </w:pPr>
          </w:p>
        </w:tc>
        <w:tc>
          <w:tcPr>
            <w:tcW w:w="9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171"/>
        </w:trPr>
        <w:tc>
          <w:tcPr>
            <w:tcW w:w="34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10.1</w:t>
            </w:r>
          </w:p>
        </w:tc>
        <w:tc>
          <w:tcPr>
            <w:tcW w:w="340" w:type="dxa"/>
            <w:vAlign w:val="bottom"/>
          </w:tcPr>
          <w:p>
            <w:pPr>
              <w:spacing w:after="0"/>
              <w:rPr>
                <w:sz w:val="14"/>
                <w:szCs w:val="14"/>
                <w:color w:val="auto"/>
              </w:rPr>
            </w:pPr>
          </w:p>
        </w:tc>
        <w:tc>
          <w:tcPr>
            <w:tcW w:w="4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Arbutus Biopharma Corporation 2026 Omnibus Share and Incentive Plan</w:t>
            </w:r>
          </w:p>
        </w:tc>
        <w:tc>
          <w:tcPr>
            <w:tcW w:w="5560" w:type="dxa"/>
            <w:vAlign w:val="bottom"/>
          </w:tcPr>
          <w:p>
            <w:pPr>
              <w:spacing w:after="0"/>
              <w:rPr>
                <w:sz w:val="14"/>
                <w:szCs w:val="14"/>
                <w:color w:val="auto"/>
              </w:rPr>
            </w:pPr>
          </w:p>
        </w:tc>
      </w:tr>
      <w:tr>
        <w:trPr>
          <w:trHeight w:val="213"/>
        </w:trPr>
        <w:tc>
          <w:tcPr>
            <w:tcW w:w="122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104</w:t>
            </w:r>
          </w:p>
        </w:tc>
        <w:tc>
          <w:tcPr>
            <w:tcW w:w="340" w:type="dxa"/>
            <w:vAlign w:val="bottom"/>
          </w:tcPr>
          <w:p>
            <w:pPr>
              <w:spacing w:after="0"/>
              <w:rPr>
                <w:sz w:val="18"/>
                <w:szCs w:val="18"/>
                <w:color w:val="auto"/>
              </w:rPr>
            </w:pPr>
          </w:p>
        </w:tc>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r>
      <w:tr>
        <w:trPr>
          <w:trHeight w:val="787"/>
        </w:trPr>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27, 2026</w:t>
      </w:r>
    </w:p>
    <w:p>
      <w:pPr>
        <w:spacing w:after="0" w:line="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234" w:lineRule="exact"/>
        <w:rPr>
          <w:sz w:val="20"/>
          <w:szCs w:val="20"/>
          <w:color w:val="auto"/>
        </w:rPr>
      </w:pPr>
    </w:p>
    <w:tbl>
      <w:tblPr>
        <w:tblLayout w:type="fixed"/>
        <w:tblInd w:w="586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Tuan Nguyen</w:t>
            </w: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Tuan Nguyen</w:t>
            </w:r>
          </w:p>
        </w:tc>
      </w:t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0280"/>
          </w:cols>
          <w:pgMar w:left="300" w:top="728" w:right="1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2026-05-27T15:06:30Z</dcterms:created>
  <dcterms:modified xsi:type="dcterms:W3CDTF">2026-05-27T15:06:30Z</dcterms:modified>
</cp:coreProperties>
</file>