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3" w:lineRule="exact"/>
        <w:rPr>
          <w:sz w:val="24"/>
          <w:szCs w:val="24"/>
          <w:color w:val="auto"/>
        </w:rPr>
      </w:pPr>
    </w:p>
    <w:p>
      <w:pPr>
        <w:ind w:left="3980" w:right="2360" w:hanging="3975"/>
        <w:spacing w:after="0" w:line="381" w:lineRule="auto"/>
        <w:tabs>
          <w:tab w:leader="none" w:pos="4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2026</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14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48" w:lineRule="exact"/>
        <w:rPr>
          <w:sz w:val="24"/>
          <w:szCs w:val="24"/>
          <w:color w:val="auto"/>
        </w:rPr>
      </w:pPr>
    </w:p>
    <w:p>
      <w:pPr>
        <w:ind w:left="40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3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British Columbia, Canada</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5"/>
          </w:tcPr>
          <w:p>
            <w:pPr>
              <w:jc w:val="center"/>
              <w:ind w:left="2192"/>
              <w:spacing w:after="0"/>
              <w:rPr>
                <w:sz w:val="20"/>
                <w:szCs w:val="20"/>
                <w:color w:val="auto"/>
              </w:rPr>
            </w:pPr>
            <w:r>
              <w:rPr>
                <w:rFonts w:ascii="Times New Roman" w:cs="Times New Roman" w:eastAsia="Times New Roman" w:hAnsi="Times New Roman"/>
                <w:sz w:val="18"/>
                <w:szCs w:val="18"/>
                <w:b w:val="1"/>
                <w:bCs w:val="1"/>
                <w:color w:val="auto"/>
                <w:w w:val="96"/>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6"/>
              </w:rPr>
              <w:t>(State or Other Jurisdiction of</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30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701 Veterans Circle, Warminster, PA 18974</w:t>
            </w:r>
          </w:p>
        </w:tc>
        <w:tc>
          <w:tcPr>
            <w:tcW w:w="2720" w:type="dxa"/>
            <w:vAlign w:val="bottom"/>
            <w:gridSpan w:val="3"/>
          </w:tcPr>
          <w:p>
            <w:pPr>
              <w:spacing w:after="0"/>
              <w:rPr>
                <w:sz w:val="24"/>
                <w:szCs w:val="24"/>
                <w:color w:val="auto"/>
              </w:rPr>
            </w:pPr>
          </w:p>
        </w:tc>
      </w:tr>
      <w:tr>
        <w:trPr>
          <w:trHeight w:val="35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7"/>
              </w:rPr>
              <w:t>(Address of Principal Executive Offices and Zip Code)</w:t>
            </w:r>
          </w:p>
        </w:tc>
      </w:tr>
      <w:tr>
        <w:trPr>
          <w:trHeight w:val="191"/>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6"/>
              </w:rPr>
              <w:t>(Registrant’s Telephone Number, Including Area Code)</w:t>
            </w:r>
          </w:p>
        </w:tc>
      </w:tr>
      <w:tr>
        <w:trPr>
          <w:trHeight w:val="342"/>
        </w:trPr>
        <w:tc>
          <w:tcPr>
            <w:tcW w:w="6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5"/>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384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w w:val="9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5"/>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1"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07" w:right="339" w:bottom="1440" w:gutter="0" w:footer="0" w:header="0"/>
        </w:sectPr>
      </w:pPr>
    </w:p>
    <w:p>
      <w:pPr>
        <w:spacing w:after="0" w:line="10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32" w:lineRule="exact"/>
        <w:rPr>
          <w:sz w:val="24"/>
          <w:szCs w:val="24"/>
          <w:color w:val="auto"/>
        </w:rPr>
      </w:pPr>
    </w:p>
    <w:p>
      <w:pPr>
        <w:sectPr>
          <w:pgSz w:w="11900" w:h="16838" w:orient="portrait"/>
          <w:cols w:equalWidth="0" w:num="5">
            <w:col w:w="2080" w:space="720"/>
            <w:col w:w="1360" w:space="720"/>
            <w:col w:w="1480" w:space="560"/>
            <w:col w:w="1900" w:space="340"/>
            <w:col w:w="2080"/>
          </w:cols>
          <w:pgMar w:left="320" w:top="907" w:right="339" w:bottom="1440" w:gutter="0" w:footer="0" w:header="0"/>
          <w:type w:val="continuous"/>
        </w:sectPr>
      </w:pPr>
    </w:p>
    <w:p>
      <w:pPr>
        <w:spacing w:after="0" w:line="14" w:lineRule="exact"/>
        <w:rPr>
          <w:sz w:val="24"/>
          <w:szCs w:val="24"/>
          <w:color w:val="auto"/>
        </w:r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60"/>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68" w:lineRule="exact"/>
        <w:rPr>
          <w:sz w:val="24"/>
          <w:szCs w:val="24"/>
          <w:color w:val="auto"/>
        </w:rPr>
      </w:pPr>
    </w:p>
    <w:p>
      <w:pPr>
        <w:sectPr>
          <w:pgSz w:w="11900" w:h="16838" w:orient="portrait"/>
          <w:cols w:equalWidth="0" w:num="5">
            <w:col w:w="2580" w:space="720"/>
            <w:col w:w="1520" w:space="720"/>
            <w:col w:w="1540" w:space="720"/>
            <w:col w:w="1520" w:space="720"/>
            <w:col w:w="1200"/>
          </w:cols>
          <w:pgMar w:left="320" w:top="907" w:right="339" w:bottom="1440" w:gutter="0" w:footer="0" w:header="0"/>
          <w:type w:val="continuous"/>
        </w:sectPr>
      </w:pPr>
    </w:p>
    <w:p>
      <w:pPr>
        <w:ind w:right="280"/>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09" w:lineRule="exact"/>
        <w:rPr>
          <w:sz w:val="24"/>
          <w:szCs w:val="24"/>
          <w:color w:val="auto"/>
        </w:rPr>
      </w:pPr>
    </w:p>
    <w:p>
      <w:pPr>
        <w:spacing w:after="0" w:line="207" w:lineRule="exact"/>
        <w:tabs>
          <w:tab w:leader="none" w:pos="7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11, 2026, the registrant had 197,537,710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418465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20" w:type="dxa"/>
            <w:vAlign w:val="bottom"/>
            <w:gridSpan w:val="2"/>
            <w:shd w:val="clear" w:color="auto" w:fill="CCEEFF"/>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0" w:type="dxa"/>
            <w:vAlign w:val="bottom"/>
            <w:gridSpan w:val="2"/>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360" w:type="dxa"/>
            <w:vAlign w:val="bottom"/>
            <w:gridSpan w:val="3"/>
            <w:shd w:val="clear" w:color="auto" w:fill="CCEEFF"/>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18</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80" w:type="dxa"/>
            <w:vAlign w:val="bottom"/>
            <w:tcBorders>
              <w:top w:val="single" w:sz="8" w:color="CCEEFF"/>
              <w:left w:val="single" w:sz="8" w:color="CCEEFF"/>
            </w:tcBorders>
            <w:vMerge w:val="continue"/>
            <w:shd w:val="clear" w:color="auto" w:fill="CCEEFF"/>
          </w:tcPr>
          <w:p>
            <w:pPr>
              <w:spacing w:after="0"/>
              <w:rPr>
                <w:sz w:val="14"/>
                <w:szCs w:val="14"/>
                <w:color w:val="auto"/>
              </w:rPr>
            </w:pPr>
          </w:p>
        </w:tc>
        <w:tc>
          <w:tcPr>
            <w:tcW w:w="7560" w:type="dxa"/>
            <w:vAlign w:val="bottom"/>
            <w:tcBorders>
              <w:top w:val="single" w:sz="8" w:color="0000FF"/>
            </w:tcBorders>
            <w:gridSpan w:val="13"/>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0000FF"/>
              </w:rPr>
              <w:t>OPERATIONS</w:t>
            </w:r>
          </w:p>
        </w:tc>
        <w:tc>
          <w:tcPr>
            <w:tcW w:w="1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left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3.</w:t>
            </w:r>
          </w:p>
        </w:tc>
        <w:tc>
          <w:tcPr>
            <w:tcW w:w="598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0000FF"/>
                <w:w w:val="95"/>
              </w:rPr>
              <w:t>QUANTITATIVE AND QUALITATIVE DISCLOSURES ABOUT MARKET RISK</w:t>
            </w:r>
          </w:p>
        </w:tc>
        <w:tc>
          <w:tcPr>
            <w:tcW w:w="28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4.</w:t>
            </w:r>
          </w:p>
        </w:tc>
        <w:tc>
          <w:tcPr>
            <w:tcW w:w="5980" w:type="dxa"/>
            <w:vAlign w:val="bottom"/>
            <w:gridSpan w:val="1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CONTROLS AND PROCEDURES</w:t>
            </w:r>
          </w:p>
        </w:tc>
        <w:tc>
          <w:tcPr>
            <w:tcW w:w="284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36</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II. OTHER INFORMATION</w:t>
            </w:r>
          </w:p>
        </w:tc>
        <w:tc>
          <w:tcPr>
            <w:tcW w:w="360" w:type="dxa"/>
            <w:vAlign w:val="bottom"/>
            <w:gridSpan w:val="3"/>
            <w:shd w:val="clear" w:color="auto" w:fill="CCEEFF"/>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1A.</w:t>
            </w:r>
          </w:p>
        </w:tc>
        <w:tc>
          <w:tcPr>
            <w:tcW w:w="12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4"/>
              </w:rPr>
              <w:t>RISK FACTORS</w:t>
            </w:r>
          </w:p>
        </w:tc>
        <w:tc>
          <w:tcPr>
            <w:tcW w:w="600" w:type="dxa"/>
            <w:vAlign w:val="bottom"/>
            <w:shd w:val="clear" w:color="auto" w:fill="CCEEFF"/>
          </w:tcPr>
          <w:p>
            <w:pPr>
              <w:spacing w:after="0"/>
              <w:rPr>
                <w:sz w:val="16"/>
                <w:szCs w:val="16"/>
                <w:color w:val="auto"/>
              </w:rPr>
            </w:pPr>
          </w:p>
        </w:tc>
        <w:tc>
          <w:tcPr>
            <w:tcW w:w="7000" w:type="dxa"/>
            <w:vAlign w:val="bottom"/>
            <w:tcBorders>
              <w:left w:val="single" w:sz="8" w:color="CCEEFF"/>
            </w:tcBorders>
            <w:gridSpan w:val="8"/>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38</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3.</w:t>
            </w:r>
          </w:p>
        </w:tc>
        <w:tc>
          <w:tcPr>
            <w:tcW w:w="310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5"/>
              </w:rPr>
              <w:t>DEFAULTS UPON SENIOR SECURITIES</w:t>
            </w:r>
          </w:p>
        </w:tc>
        <w:tc>
          <w:tcPr>
            <w:tcW w:w="2800" w:type="dxa"/>
            <w:vAlign w:val="bottom"/>
            <w:gridSpan w:val="2"/>
            <w:shd w:val="clear" w:color="auto" w:fill="CCEEFF"/>
          </w:tcPr>
          <w:p>
            <w:pPr>
              <w:spacing w:after="0"/>
              <w:rPr>
                <w:sz w:val="16"/>
                <w:szCs w:val="16"/>
                <w:color w:val="auto"/>
              </w:rPr>
            </w:pPr>
          </w:p>
        </w:tc>
        <w:tc>
          <w:tcPr>
            <w:tcW w:w="2920" w:type="dxa"/>
            <w:vAlign w:val="bottom"/>
            <w:gridSpan w:val="3"/>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4.</w:t>
            </w:r>
          </w:p>
        </w:tc>
        <w:tc>
          <w:tcPr>
            <w:tcW w:w="238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0000FF"/>
                <w:w w:val="96"/>
              </w:rPr>
              <w:t>MINE SAFETY DISCLOSURES</w:t>
            </w:r>
          </w:p>
        </w:tc>
        <w:tc>
          <w:tcPr>
            <w:tcW w:w="720" w:type="dxa"/>
            <w:vAlign w:val="bottom"/>
            <w:gridSpan w:val="2"/>
          </w:tcPr>
          <w:p>
            <w:pPr>
              <w:spacing w:after="0"/>
              <w:rPr>
                <w:sz w:val="16"/>
                <w:szCs w:val="16"/>
                <w:color w:val="auto"/>
              </w:rPr>
            </w:pPr>
          </w:p>
        </w:tc>
        <w:tc>
          <w:tcPr>
            <w:tcW w:w="572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182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560" w:type="dxa"/>
            <w:vAlign w:val="bottom"/>
            <w:tcBorders>
              <w:left w:val="single" w:sz="8" w:color="CCEEFF"/>
            </w:tcBorders>
            <w:shd w:val="clear" w:color="auto" w:fill="CCEEFF"/>
          </w:tcPr>
          <w:p>
            <w:pPr>
              <w:spacing w:after="0"/>
              <w:rPr>
                <w:sz w:val="16"/>
                <w:szCs w:val="16"/>
                <w:color w:val="auto"/>
              </w:rPr>
            </w:pPr>
          </w:p>
        </w:tc>
        <w:tc>
          <w:tcPr>
            <w:tcW w:w="6440" w:type="dxa"/>
            <w:vAlign w:val="bottom"/>
            <w:gridSpan w:val="7"/>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6.</w:t>
            </w:r>
          </w:p>
        </w:tc>
        <w:tc>
          <w:tcPr>
            <w:tcW w:w="18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40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receivable from Genevant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7"/>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94,456</w:t>
            </w:r>
          </w:p>
        </w:tc>
        <w:tc>
          <w:tcPr>
            <w:tcW w:w="0" w:type="dxa"/>
            <w:vAlign w:val="bottom"/>
          </w:tcPr>
          <w:p>
            <w:pPr>
              <w:spacing w:after="0"/>
              <w:rPr>
                <w:sz w:val="1"/>
                <w:szCs w:val="1"/>
                <w:color w:val="auto"/>
              </w:rPr>
            </w:pPr>
          </w:p>
        </w:tc>
      </w:tr>
      <w:tr>
        <w:trPr>
          <w:trHeight w:val="171"/>
        </w:trPr>
        <w:tc>
          <w:tcPr>
            <w:tcW w:w="6640" w:type="dxa"/>
            <w:vAlign w:val="bottom"/>
            <w:shd w:val="clear" w:color="auto" w:fill="CCEEFF"/>
          </w:tcPr>
          <w:p>
            <w:pPr>
              <w:ind w:left="40"/>
              <w:spacing w:after="0" w:line="171" w:lineRule="exact"/>
              <w:rPr>
                <w:sz w:val="20"/>
                <w:szCs w:val="20"/>
                <w:color w:val="auto"/>
              </w:rPr>
            </w:pPr>
            <w:r>
              <w:rPr>
                <w:rFonts w:ascii="Times New Roman" w:cs="Times New Roman" w:eastAsia="Times New Roman" w:hAnsi="Times New Roman"/>
                <w:sz w:val="18"/>
                <w:szCs w:val="18"/>
                <w:color w:val="auto"/>
                <w:w w:val="97"/>
              </w:rPr>
              <w:t>Property and equipment, net of accumulated depreciation and impairment of $224 (December</w:t>
            </w:r>
          </w:p>
        </w:tc>
        <w:tc>
          <w:tcPr>
            <w:tcW w:w="38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44"/>
        </w:trPr>
        <w:tc>
          <w:tcPr>
            <w:tcW w:w="66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 2025: $213)</w:t>
            </w:r>
          </w:p>
        </w:tc>
        <w:tc>
          <w:tcPr>
            <w:tcW w:w="380" w:type="dxa"/>
            <w:vAlign w:val="bottom"/>
            <w:shd w:val="clear" w:color="auto" w:fill="CCEEFF"/>
          </w:tcPr>
          <w:p>
            <w:pPr>
              <w:spacing w:after="0"/>
              <w:rPr>
                <w:sz w:val="12"/>
                <w:szCs w:val="12"/>
                <w:color w:val="auto"/>
              </w:rPr>
            </w:pPr>
          </w:p>
        </w:tc>
        <w:tc>
          <w:tcPr>
            <w:tcW w:w="1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6640" w:type="dxa"/>
            <w:vAlign w:val="bottom"/>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liability, current</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7"/>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3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7"/>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Unlimited number without par value</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4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Issued and outstanding: 196,947,757</w:t>
            </w:r>
          </w:p>
        </w:tc>
        <w:tc>
          <w:tcPr>
            <w:tcW w:w="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2025: 192,531,225)</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1,421,429</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Deficit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(1,380,073)</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(48,098)</w:t>
            </w: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260,177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Income (Loss)</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Collaborations and licenses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revenue from Genevant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7"/>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w:t>
            </w:r>
          </w:p>
        </w:tc>
      </w:tr>
      <w:tr>
        <w:trPr>
          <w:trHeight w:val="217"/>
        </w:trPr>
        <w:tc>
          <w:tcPr>
            <w:tcW w:w="8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27,463</w:t>
            </w: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17"/>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169,695</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(24,526)</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04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23"/>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3"/>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193,768,641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190,707,085</w:t>
            </w: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195,214,067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190,707,085</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2"/>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169,598</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29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Additional Paid-</w:t>
            </w: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3"/>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220" w:type="dxa"/>
            <w:vAlign w:val="bottom"/>
          </w:tcPr>
          <w:p>
            <w:pPr>
              <w:spacing w:after="0"/>
              <w:rPr>
                <w:sz w:val="9"/>
                <w:szCs w:val="9"/>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9"/>
                <w:szCs w:val="9"/>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4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192,531,225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1,421,429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83,318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76,576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139"/>
        </w:trPr>
        <w:tc>
          <w:tcPr>
            <w:tcW w:w="3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4,149,396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22,262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12,556</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shares upon vesting of RSUs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169,695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169,695</w:t>
            </w: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196,947,757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1,444,494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74,256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(1,210,378)</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(48,195)</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260,177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67945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122" w:right="4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29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restart"/>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gridSpan w:val="2"/>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100" w:type="dxa"/>
            <w:vAlign w:val="bottom"/>
          </w:tcPr>
          <w:p>
            <w:pPr>
              <w:spacing w:after="0"/>
              <w:rPr>
                <w:sz w:val="9"/>
                <w:szCs w:val="9"/>
                <w:color w:val="auto"/>
              </w:rPr>
            </w:pP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Capital</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189,963,492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(1,346,572)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97,366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tcBorders>
              <w:top w:val="single" w:sz="8" w:color="CCEEFF"/>
            </w:tcBorders>
            <w:vMerge w:val="continue"/>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39"/>
        </w:trPr>
        <w:tc>
          <w:tcPr>
            <w:tcW w:w="3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892,857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upon vesting of RSUs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0" w:type="dxa"/>
            <w:vAlign w:val="bottom"/>
          </w:tcPr>
          <w:p>
            <w:pPr>
              <w:spacing w:after="0"/>
              <w:rPr>
                <w:sz w:val="1"/>
                <w:szCs w:val="1"/>
                <w:color w:val="auto"/>
              </w:rPr>
            </w:pPr>
          </w:p>
        </w:tc>
      </w:tr>
      <w:tr>
        <w:trPr>
          <w:trHeight w:val="197"/>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191,481,474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1,416,332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82,089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(1,371,098)</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79,157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67945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460" w:top="1017" w:right="479" w:bottom="1440" w:gutter="0" w:footer="0" w:header="0"/>
        </w:sectPr>
      </w:pPr>
    </w:p>
    <w:bookmarkStart w:id="6" w:name="page7"/>
    <w:bookmarkEnd w:id="6"/>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Pr>
          <w:p>
            <w:pPr>
              <w:spacing w:after="0"/>
              <w:rPr>
                <w:sz w:val="16"/>
                <w:szCs w:val="16"/>
                <w:color w:val="auto"/>
              </w:rPr>
            </w:pPr>
          </w:p>
        </w:tc>
      </w:tr>
      <w:tr>
        <w:trPr>
          <w:trHeight w:val="24"/>
        </w:trPr>
        <w:tc>
          <w:tcPr>
            <w:tcW w:w="66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66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80" w:type="dxa"/>
            <w:vAlign w:val="bottom"/>
          </w:tcPr>
          <w:p>
            <w:pPr>
              <w:jc w:val="right"/>
              <w:ind w:right="110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169,695</w:t>
            </w:r>
          </w:p>
        </w:tc>
        <w:tc>
          <w:tcPr>
            <w:tcW w:w="8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(24,526)</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1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impairment of leasehold improvements and lab equipment</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royalty revenue</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accretion and amortization of investments in marketable securities</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operating items: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License receivable from Genevant</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(178,741)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deferred license revenue</w:t>
            </w:r>
          </w:p>
        </w:tc>
        <w:tc>
          <w:tcPr>
            <w:tcW w:w="1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(13,391)</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investments in marketable securities</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(34,716)</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Disposition of investments in marketable securities</w:t>
            </w:r>
          </w:p>
        </w:tc>
        <w:tc>
          <w:tcPr>
            <w:tcW w:w="1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16,000</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46,065</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2,199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11,349</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exercise of stock options</w:t>
            </w:r>
          </w:p>
        </w:tc>
        <w:tc>
          <w:tcPr>
            <w:tcW w:w="1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11,531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w:t>
            </w:r>
          </w:p>
        </w:tc>
      </w:tr>
      <w:tr>
        <w:trPr>
          <w:trHeight w:val="212"/>
        </w:trPr>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ESPP</w:t>
            </w:r>
          </w:p>
        </w:tc>
        <w:tc>
          <w:tcPr>
            <w:tcW w:w="1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1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w:t>
            </w:r>
          </w:p>
        </w:tc>
        <w:tc>
          <w:tcPr>
            <w:tcW w:w="1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5,698</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18,008</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36,330</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280" w:type="dxa"/>
            <w:vAlign w:val="bottom"/>
            <w:tcBorders>
              <w:bottom w:val="single" w:sz="8" w:color="auto"/>
            </w:tcBorders>
          </w:tcPr>
          <w:p>
            <w:pPr>
              <w:jc w:val="right"/>
              <w:ind w:right="110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23,706</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37,076</w:t>
            </w:r>
          </w:p>
        </w:tc>
      </w:tr>
      <w:tr>
        <w:trPr>
          <w:trHeight w:val="21"/>
        </w:trPr>
        <w:tc>
          <w:tcPr>
            <w:tcW w:w="66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2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Nature of business and future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Arbutus Biopharma Corporation (“Arbutus” or the “Company”) is a clinical-stage biopharmaceutical company focused on infectious disease. The Company is currently developing imdusiran (AB-729), its proprietary, GalNAc-conjugated, subcutaneously-delivered ribonucleic acid interference (RNAi) therapeutic, and AB-101, its proprietary oral PD-L1 inhibitor, for the treatment of chronic hepatitis B (cHBV).</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continues to protect and defend its intellectual property, which is the subject of its ongoing lawsuit against Pfizer Inc. and BioNTech SE (collectively, Pfizer/BioNTech) for their use of the Company’s patented lipid nanoparticle (LNP) technology in their COVID-19 messenger ribonucleic acid interference (mRNA)-LNP vaccines. The court issued a claim construction ruling in September 2025, which construed the disputed claim terms in a manner the Company generally considers to be favorable. The parties are awaiting further scheduling in the litigation.</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March 3, 2026, the Company, along with Genevant Sciences GmbH and, solely for specified purposes, its parent company Genevant Sciences Ltd. (collectively, Genevant), entered into a settlement agreement (the Moderna Settlement Agreement) with Moderna Inc. and ModernaTX, Inc. (together, Moderna) to resolve all patent infringement litigation and patent revocation proceedings involving Moderna and its affiliates pending in the United States and internationally (the Moderna LNP Litigation). Under the terms of the Moderna Settlement Agreement, Moderna will make an aggregate $950.0 million noncontingent lump sum payment (the Noncontingent Settlement Payment) to the Company and Genevant on or before July 8, 2026. In addition, Moderna is obligated to pay the Company and Genevant an additional aggregate contingent lump sum payment of $1.3 billion (the Contingent Settlement Payment) upon a ruling that is favorable to the Company and Genevant in a limited appeal related to 28 U.S.C. §1498 (§1498) that Moderna filed, as allowed under the Moderna Settlement Agreement (the Moderna §1498 Appeal). Under the Company’s license with Genevant, it is entitled to receive, after deduction of litigation costs, 20% of the Noncontingent Settlement Payment. The Company currently expects to receive an estimated $178.7 million of the Noncontingent Settlement Payment, which includes reimbursement of the Company’s litigation costs. In addition, as of March 31, 2026, the Company owned approximately 16% of the outstanding common equity of Genevant.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At March 31, 2026, the Company had an aggregate of $95.2 million in cash, cash equivalents and investments in marketable securities. The Company had no outstanding debt as of March 31, 2026. The Company believes it has sufficient cash resources to fund its operations for at least the next 12 months.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The success of the Company’s operations is dependent on obtaining the necessary regulatory approvals to bring one or more of its product candidates to market and achieve profitability from ongoing operations. The Company’s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development programs or the Company’s ability to continue to fund these programs in the future.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 w:name="page9"/>
    <w:bookmarkEnd w:id="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Significant accounting policies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2025 included in the Company’s Annual Report on Form 10-K for the year ended December 31, 2025.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March 31, 2026 and December 31, 2025, the Company’s results of operations for the three months ended March 31, 2026 and 2025, and the Company’s cash flows for the three months ended March 31, 2026 and 2025. Such adjustments are of a normal recurring nature. The results of operations for the three months ended March 31, 2026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2025, except as described below under the section entitled “Recent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(loss) per share is calculated based on the weighted average number of common shares outstanding. Diluted net income (loss) per share is calculated using the treasury stock method and reflects the effect of all potentially dilutive securities (outstanding stock options and restricted stock units). The number of weighted average shares used in the calculation of net income per share for the three months ended March 31, 2026 was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0"/>
        </w:trPr>
        <w:tc>
          <w:tcPr>
            <w:tcW w:w="926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0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980" w:type="dxa"/>
            <w:vAlign w:val="bottom"/>
            <w:shd w:val="clear" w:color="auto" w:fill="CCEEFF"/>
          </w:tcPr>
          <w:p>
            <w:pPr>
              <w:spacing w:after="0"/>
              <w:rPr>
                <w:sz w:val="18"/>
                <w:szCs w:val="18"/>
                <w:color w:val="auto"/>
              </w:rPr>
            </w:pP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193,768,641</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shares from equity-based compensation plans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1,445,426</w:t>
            </w:r>
          </w:p>
        </w:tc>
      </w:tr>
      <w:tr>
        <w:trPr>
          <w:trHeight w:val="22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195,214,067</w:t>
            </w: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net loss per share does not differ from basic net loss per share for the three months ended March 31, 2025 since the effect of including potential common shares would be anti-dilutive as the Company was in a net loss position. Total antidilutive securities that were excluded from the computation of diluted weighted-average shares outstanding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472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652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184"/>
        </w:trPr>
        <w:tc>
          <w:tcPr>
            <w:tcW w:w="65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232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rPr>
              <w:t>10,367,441</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15,572,411</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collaborations and licenses</w:t>
      </w:r>
    </w:p>
    <w:p>
      <w:pPr>
        <w:spacing w:after="0" w:line="24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Company’s collaboration agreements fall under the scope of Accounting Standards Codification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some aspects, including for the delivery of a good or service (i.e., a unit of account).</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ASC 606 requires an entity to recognize the amount of revenue to which it expects to be entitled for the transfer of promised goods or services to customers under a five-step model: (i) identify contract(s) with a customer; (ii) identify the performance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 w:name="page10"/>
    <w:bookmarkEnd w:id="9"/>
    <w:p>
      <w:pPr>
        <w:jc w:val="both"/>
        <w:spacing w:after="0" w:line="268" w:lineRule="auto"/>
        <w:rPr>
          <w:sz w:val="20"/>
          <w:szCs w:val="20"/>
          <w:color w:val="auto"/>
        </w:rPr>
      </w:pPr>
      <w:r>
        <w:rPr>
          <w:rFonts w:ascii="Times New Roman" w:cs="Times New Roman" w:eastAsia="Times New Roman" w:hAnsi="Times New Roman"/>
          <w:sz w:val="18"/>
          <w:szCs w:val="18"/>
          <w:color w:val="auto"/>
        </w:rPr>
        <w:t>obligations in the contract; (iii) determine the transaction price; (iv) allocate the transaction price to the performance obligations in the contract; and (v) recognize revenue when or as a performance obligation is satisfied.</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2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 w:cs="Times New Roman" w:eastAsia="Times New Roman" w:hAnsi="Times New Roman"/>
          <w:sz w:val="18"/>
          <w:szCs w:val="18"/>
          <w:i w:val="1"/>
          <w:iCs w:val="1"/>
          <w:color w:val="auto"/>
        </w:rPr>
        <w:t>Balance Sheet - Offsetting</w:t>
      </w:r>
      <w:r>
        <w:rPr>
          <w:rFonts w:ascii="Times New Roman" w:cs="Times New Roman" w:eastAsia="Times New Roman" w:hAnsi="Times New Roman"/>
          <w:sz w:val="18"/>
          <w:szCs w:val="18"/>
          <w:color w:val="auto"/>
        </w:rPr>
        <w:t xml:space="preserve"> (ASC 210-20) the Company’s deferred revenue was offset by a contract asset as further discussed in Note 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Company adopted ASU 2023-09 for the year ended December 31, 2025 on a prospective basis and included the required enhanced disclosures in its Annual Report on Form 10-K for the year ended December 31, 2025. As the guidance relates to disclosure requirements only, adoption did not have an impact on the Company’s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has reviewed all recently issued standards and has determined that such standards will not have a material impact on the Company’s financial statements or do not otherwise apply to the Company’s operations.</w:t>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35" w:lineRule="exact"/>
        <w:rPr>
          <w:sz w:val="20"/>
          <w:szCs w:val="20"/>
          <w:color w:val="auto"/>
        </w:rPr>
      </w:pPr>
    </w:p>
    <w:p>
      <w:pPr>
        <w:ind w:left="940" w:hanging="46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161"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0" w:name="page11"/>
    <w:bookmarkEnd w:id="10"/>
    <w:p>
      <w:pPr>
        <w:ind w:left="960"/>
        <w:spacing w:after="0"/>
        <w:rPr>
          <w:sz w:val="20"/>
          <w:szCs w:val="20"/>
          <w:color w:val="auto"/>
        </w:rPr>
      </w:pPr>
      <w:r>
        <w:rPr>
          <w:rFonts w:ascii="Times New Roman" w:cs="Times New Roman" w:eastAsia="Times New Roman" w:hAnsi="Times New Roman"/>
          <w:sz w:val="18"/>
          <w:szCs w:val="18"/>
          <w:color w:val="auto"/>
        </w:rPr>
        <w:t>substantially the full term. An example includes quoted market prices for similar assets or liabilities in active markets.</w:t>
      </w:r>
    </w:p>
    <w:p>
      <w:pPr>
        <w:spacing w:after="0" w:line="161" w:lineRule="exact"/>
        <w:rPr>
          <w:sz w:val="20"/>
          <w:szCs w:val="20"/>
          <w:color w:val="auto"/>
        </w:rPr>
      </w:pPr>
    </w:p>
    <w:p>
      <w:pPr>
        <w:ind w:left="960" w:hanging="482"/>
        <w:spacing w:after="0" w:line="268"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$8.6 million as of March 31, 2026 and the increase of $0.2 million from December 31, 2025 has been recorded as a component of total operating expenses in the condensed consolidated statements of operations and comprehensive income (loss) for the three months ended March 31, 2026. The assumptions used in the discounted cash flow model are level 3 inputs as defined above. There were no changes in the assumptions as of March 31, 2026 compared to December 31, 2025. The Company assessed the sensitivity of the fair value measurement to changes in these unobservable inputs, and determined that changes within a reasonable range would not result in a materially different assessment of fair value.</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5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20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80" w:type="dxa"/>
            <w:vAlign w:val="bottom"/>
            <w:gridSpan w:val="5"/>
          </w:tcPr>
          <w:p>
            <w:pPr>
              <w:jc w:val="right"/>
              <w:ind w:right="478"/>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71,520</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8,604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8,604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7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1500" w:type="dxa"/>
            <w:vAlign w:val="bottom"/>
            <w:gridSpan w:val="3"/>
          </w:tcPr>
          <w:p>
            <w:pPr>
              <w:spacing w:after="0"/>
              <w:rPr>
                <w:sz w:val="2"/>
                <w:szCs w:val="2"/>
                <w:color w:val="auto"/>
              </w:rPr>
            </w:pPr>
          </w:p>
        </w:tc>
        <w:tc>
          <w:tcPr>
            <w:tcW w:w="3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1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5"/>
          </w:tcPr>
          <w:p>
            <w:pPr>
              <w:jc w:val="right"/>
              <w:ind w:right="478"/>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8,395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8,395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Liability at beginning of the period</w:t>
            </w:r>
          </w:p>
        </w:tc>
        <w:tc>
          <w:tcPr>
            <w:tcW w:w="220" w:type="dxa"/>
            <w:vAlign w:val="bottom"/>
          </w:tcPr>
          <w:p>
            <w:pPr>
              <w:spacing w:after="0"/>
              <w:rPr>
                <w:sz w:val="16"/>
                <w:szCs w:val="16"/>
                <w:color w:val="auto"/>
              </w:rPr>
            </w:pPr>
          </w:p>
        </w:tc>
        <w:tc>
          <w:tcPr>
            <w:tcW w:w="21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Change in fair value of liability</w:t>
            </w:r>
          </w:p>
        </w:tc>
        <w:tc>
          <w:tcPr>
            <w:tcW w:w="260" w:type="dxa"/>
            <w:vAlign w:val="bottom"/>
          </w:tcPr>
          <w:p>
            <w:pPr>
              <w:spacing w:after="0"/>
              <w:rPr>
                <w:sz w:val="16"/>
                <w:szCs w:val="16"/>
                <w:color w:val="auto"/>
              </w:rPr>
            </w:pPr>
          </w:p>
        </w:tc>
        <w:tc>
          <w:tcPr>
            <w:tcW w:w="20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Liability at end of the period</w:t>
            </w:r>
          </w:p>
        </w:tc>
      </w:tr>
      <w:tr>
        <w:trPr>
          <w:trHeight w:val="50"/>
        </w:trPr>
        <w:tc>
          <w:tcPr>
            <w:tcW w:w="43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184"/>
        </w:trPr>
        <w:tc>
          <w:tcPr>
            <w:tcW w:w="4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8,395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w:t>
            </w: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additional information regarding the fair value of the Company’s investments in marketable securities.</w:t>
      </w:r>
    </w:p>
    <w:p>
      <w:pPr>
        <w:spacing w:after="0" w:line="200" w:lineRule="exact"/>
        <w:rPr>
          <w:sz w:val="20"/>
          <w:szCs w:val="20"/>
          <w:color w:val="auto"/>
        </w:rPr>
      </w:pPr>
    </w:p>
    <w:p>
      <w:pPr>
        <w:spacing w:after="0" w:line="3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Investments in marketable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cash equivalents and marketable securities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9"/>
                <w:szCs w:val="9"/>
                <w:b w:val="1"/>
                <w:bCs w:val="1"/>
                <w:color w:val="auto"/>
              </w:rPr>
              <w:t>(1)</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43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00" w:type="dxa"/>
            <w:vAlign w:val="bottom"/>
            <w:gridSpan w:val="3"/>
          </w:tcPr>
          <w:p>
            <w:pPr>
              <w:jc w:val="right"/>
              <w:ind w:right="397"/>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00" w:type="dxa"/>
            <w:vAlign w:val="bottom"/>
          </w:tcPr>
          <w:p>
            <w:pPr>
              <w:spacing w:after="0"/>
              <w:rPr>
                <w:sz w:val="19"/>
                <w:szCs w:val="19"/>
                <w:color w:val="auto"/>
              </w:rPr>
            </w:pPr>
          </w:p>
        </w:tc>
        <w:tc>
          <w:tcPr>
            <w:tcW w:w="70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0" w:type="dxa"/>
            <w:vAlign w:val="bottom"/>
          </w:tcPr>
          <w:p>
            <w:pPr>
              <w:spacing w:after="0"/>
              <w:rPr>
                <w:sz w:val="1"/>
                <w:szCs w:val="1"/>
                <w:color w:val="auto"/>
              </w:rPr>
            </w:pPr>
          </w:p>
        </w:tc>
      </w:tr>
      <w:tr>
        <w:trPr>
          <w:trHeight w:val="191"/>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3"/>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3"/>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3"/>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480" w:hanging="159"/>
        <w:spacing w:after="0"/>
        <w:tabs>
          <w:tab w:leader="none" w:pos="48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income (loss).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18"/>
                <w:szCs w:val="18"/>
                <w:b w:val="1"/>
                <w:bCs w:val="1"/>
                <w:color w:val="auto"/>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38"/>
        </w:trPr>
        <w:tc>
          <w:tcPr>
            <w:tcW w:w="43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40" w:type="dxa"/>
            <w:vAlign w:val="bottom"/>
            <w:gridSpan w:val="3"/>
          </w:tcPr>
          <w:p>
            <w:pPr>
              <w:ind w:left="58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7"/>
        </w:trPr>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r>
      <w:tr>
        <w:trPr>
          <w:trHeight w:val="191"/>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37,452</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35,965</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36,011</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73,376</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73,463</w:t>
            </w:r>
          </w:p>
        </w:tc>
      </w:tr>
    </w:tbl>
    <w:p>
      <w:pPr>
        <w:spacing w:after="0" w:line="308" w:lineRule="exact"/>
        <w:rPr>
          <w:sz w:val="20"/>
          <w:szCs w:val="20"/>
          <w:color w:val="auto"/>
        </w:rPr>
      </w:pPr>
    </w:p>
    <w:p>
      <w:pPr>
        <w:ind w:left="480" w:hanging="159"/>
        <w:spacing w:after="0"/>
        <w:tabs>
          <w:tab w:leader="none" w:pos="48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income (loss).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contractual term to maturity of the $71.5 million of short-term marketable securities held by the Company as of March 31, 2026 is less than one year. As of March 31, 2026, the Company held no long-term marketable securities. As of December 31, 2025, the Company’s $73.5 million of short-term marketable securities had contractual maturities of less than one year, while the Company held no long-term marketable securities.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jc w:val="both"/>
        <w:spacing w:after="0" w:line="248" w:lineRule="auto"/>
        <w:rPr>
          <w:sz w:val="20"/>
          <w:szCs w:val="20"/>
          <w:color w:val="auto"/>
        </w:rPr>
      </w:pPr>
      <w:r>
        <w:rPr>
          <w:rFonts w:ascii="Times New Roman" w:cs="Times New Roman" w:eastAsia="Times New Roman" w:hAnsi="Times New Roman"/>
          <w:sz w:val="18"/>
          <w:szCs w:val="18"/>
          <w:color w:val="auto"/>
        </w:rPr>
        <w:t>At March 31, 2026, the Company had 22 available-for-sale investment debt securities in an unrealized loss position without an allowance for credit losses. As of December 31, 2025, there were no available-for-sale investment debt securities in an unrealized loss position without an allowance for credit losses. Unrealized losses on the Company’s investments in debt securities have not been recognized into income as the issuers’ securities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securities. The fair value is expected to recover as the securities approach maturity.</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Accrued interest receivable on investments in marketable securities of $0.4 million and $0.3 million at March 31, 2026 and December 31, 2025, respectively, is included in prepaid expenses and other current assets.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realized gains during either of the three months ended March 31, 2026 or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 regarding the fair value of the Company’s investments in marketable securities.</w:t>
      </w:r>
    </w:p>
    <w:p>
      <w:pPr>
        <w:spacing w:after="0" w:line="200" w:lineRule="exact"/>
        <w:rPr>
          <w:sz w:val="20"/>
          <w:szCs w:val="20"/>
          <w:color w:val="auto"/>
        </w:rPr>
      </w:pPr>
    </w:p>
    <w:p>
      <w:pPr>
        <w:spacing w:after="0" w:line="2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Investment in Genevant</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April 2018, the Company entered into an agreement with Roivant Sciences Ltd. (Roivant), its largest shareholder, to launch Genevant Sciences Ltd., a company focused on nucleic acid- and gene editing-based therapeutics enabled by the Company’s LNP and ligand conjugate delivery technologies. The Company licensed rights to its LNP and ligand conjugate delivery platforms to Genevant outside of hepatitis B (HBV), except to the extent certain rights had already been licensed to other third parties (the Genevant License). The Company retained all rights to its LNP and conjugate delivery platforms for HBV.</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Under the Genevant License, as amended, if a third-party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March 31, 2026, the carrying value of the Company’s investment in Genevant was zero and the Company owned approximately 16% of the outstanding common equity of Genevant.</w:t>
      </w:r>
    </w:p>
    <w:p>
      <w:pPr>
        <w:spacing w:after="0" w:line="21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Accounts payable and accrued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were comprised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7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6"/>
                <w:szCs w:val="16"/>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500" w:type="dxa"/>
            <w:vAlign w:val="bottom"/>
            <w:shd w:val="clear" w:color="auto" w:fill="CCEEFF"/>
          </w:tcPr>
          <w:p>
            <w:pPr>
              <w:jc w:val="right"/>
              <w:ind w:right="13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accruals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15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17"/>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liabilities</w:t>
            </w:r>
          </w:p>
        </w:tc>
        <w:tc>
          <w:tcPr>
            <w:tcW w:w="1500" w:type="dxa"/>
            <w:vAlign w:val="bottom"/>
            <w:tcBorders>
              <w:bottom w:val="single" w:sz="8" w:color="auto"/>
            </w:tcBorders>
          </w:tcPr>
          <w:p>
            <w:pPr>
              <w:jc w:val="right"/>
              <w:ind w:right="13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4,474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0"/>
        </w:trPr>
        <w:tc>
          <w:tcPr>
            <w:tcW w:w="7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3" w:name="page14"/>
    <w:bookmarkEnd w:id="13"/>
    <w:p>
      <w:pPr>
        <w:jc w:val="both"/>
        <w:spacing w:after="0" w:line="237" w:lineRule="auto"/>
        <w:rPr>
          <w:sz w:val="20"/>
          <w:szCs w:val="20"/>
          <w:color w:val="auto"/>
        </w:rPr>
      </w:pPr>
      <w:r>
        <w:rPr>
          <w:rFonts w:ascii="Times New Roman" w:cs="Times New Roman" w:eastAsia="Times New Roman" w:hAnsi="Times New Roman"/>
          <w:sz w:val="18"/>
          <w:szCs w:val="18"/>
          <w:color w:val="auto"/>
        </w:rPr>
        <w:t>In March 2025, the Company implemented changes to focus its efforts on advancing the clinical development of imdusiran and AB-101. The decision was made to exit the Company’s corporate headquarters in Warminster, Pennsylvania, implement workforce reductions and discontinue in-house scientific research. The Company recognized $12.9 million of restructuring charges in 2025, of which there was an aggregate of $0.2 million in medical benefit costs and lease expenses accrued as of March 31, 2026.</w:t>
      </w: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Sale of future royalties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(Patisiran) (ONPATTRO), an RNA interference therapeutic currently being sold by Alnylam Pharmaceuticals, Inc. (Alnylam).</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ONPATTRO utilizes Arbutus’s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it fails to collect any such future royalties.</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March 31, 2026, the Company estimated an effective annual interest rate of approximately 2.0%.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March 31, 2026, an aggregate of $26.7 million of royalties have been earned by OMERS. There are a number of factors that could materially affect the amount and timing of royalty payments from Alnylam, none of which are within the Company’s control.</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non-cash royalty revenue of $0.2 million and related non-cash interest expense of less than $0.1 million. During the three months ended March 31, 2025, the Company recognized non-cash royalty revenue of $0.4 million and related non-cash interest expense of less than $0.1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activity related to the net liability for the three months ended March 31, 2026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beginning balance</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ending balance</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Pr>
          <w:p>
            <w:pPr>
              <w:spacing w:after="0"/>
              <w:rPr>
                <w:sz w:val="19"/>
                <w:szCs w:val="19"/>
                <w:color w:val="auto"/>
              </w:rPr>
            </w:pPr>
          </w:p>
        </w:tc>
        <w:tc>
          <w:tcPr>
            <w:tcW w:w="1000" w:type="dxa"/>
            <w:vAlign w:val="bottom"/>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r>
    </w:tbl>
    <w:p>
      <w:pPr>
        <w:spacing w:after="0" w:line="3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 In addition to the two royalty entitlements, the Company is entitled to receive payments upon the achievement of contractual milestones related to Alnylam’s use of the Company’s proprietary LNP technology for other products.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4" w:name="page15"/>
    <w:bookmarkEnd w:id="1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Contingencies and commitments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with Enantigen</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2014, Arbutus Biopharma,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contingent consideration is a financial liability and is measured at its fair value at each reporting period, with any changes in fair value from the previous reporting period recorded in the condensed consolidated statements of operations and comprehensive income (loss) (see Note 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consideration was $8.6 million as of March 31, 2026.</w:t>
      </w:r>
    </w:p>
    <w:p>
      <w:pPr>
        <w:spacing w:after="0" w:line="2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Collaborations, contracts and licensing agreements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Qilu Pharmaceutical Co., Ltd.</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December 2021, the Company entered into a technology transfer and license agreement (the Qilu License Agreement) with Qilu Pharmaceutical Co., Ltd. (Qilu), pursuant to which the Company granted Qilu a sublicensable, royalty-bearing license, under certain intellectual property owned by the Company, which was non-exclusive as to development and manufacturing and exclusive with respect to commercialization of imdusiran, including pharmaceutical products that include imdusiran, for the treatment or prevention of HBV in China, Hong Kong, Macau and Taiwan (Greater China and Taiwan).</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partial consideration for the rights granted by the Company, Qilu paid the Company a one-time upfront cash payment of $40.0 million, net of withholding taxes, on January 5, 2022, and agreed to pay the Company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Greater China and Taiwan. The royalties were payable on a product-by-product and region-by-region basis, subject to certain limitations.</w:t>
      </w:r>
    </w:p>
    <w:p>
      <w:pPr>
        <w:spacing w:after="0" w:line="2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Concurrent with the execution of the Qilu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the Company and Qilu mutually agreed to conclude the strategic partnership and terminated the Qilu License Agreement and related agreements, and the Company now once again holds global rights for imdusiran. As no obligations remain under the Qilu License Agreement, the Company recognized all previously deferred revenue in the second quarter of 2025.</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Until the conclusion of the strategic partnership with Qilu, the Company reevaluated the transaction price and the total estimated labor hours expected to be incurred to satisfy the performance obligations and adjusted the deferred revenue at the end of each reporting period, which resulted in changes to the amount of collaboration revenue recognized and deferred revenue. During the three months ended March 31, 2025, the Company recognized $0.8 million of revenue based on labor hours expended by the Company on its Manufacturing Obligations and expense of less than $0.1 million for amortization of costs associated with obtaining the Qilu License Agreement.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5" w:name="page16"/>
    <w:bookmarkEnd w:id="15"/>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Barinthus Biotherapeutics plc</w:t>
      </w:r>
    </w:p>
    <w:p>
      <w:pPr>
        <w:spacing w:after="0" w:line="2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July 2021, the Company entered into a clinical collaboration agreement with Barinthus Biotherapeutics plc (Barinthus), formerly Vaccitech plc, pursuant to which the Company completed IM-PROVE II, a Phase 2a proof-of-concept clinical trial evaluating the safety, antiviral activity and immunogenicity of a combination treatment with Barinthus’ VTP-300, an HBV immunotherapeutic, administered after imdusiran in patients with cHBV infection. This clinical trial was amended to include a treatment arm with the addition of an approved PD-1 monoclonal antibody inhibitor, nivolumab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was responsible for managing this Phase 2a proof-of-concept clinical trial, subject to oversight by a joint development committee comprised of representatives from the Company and Barinthus. The Company and Barinthus retained full rights to their respective product candidates and split all costs associated with the clinical trial. The Company received $0.3 million of refunds and incurred $0.3 million of costs related to the collaboration, net of Barinthus’s 50% share, during the three months ended March 31, 2026 and 2025, respectively, and reflected those amounts in research and development in the condensed consolidated statements of operations and comprehensive income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Entitlements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and Acuitas Therapeutics,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royalty entitlements to Alnylam’s global net sales of ONPATTRO.</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it fails to collect any such future royalties. If this royalty entitlement reverts to the Company, it has the potential to provide an active royalty stream or to be otherwise monetized again in full or in part. From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inception of the royalty sale through March 31, 2026, an aggregate of $26.7 million of royalties have been earned by OMERS.</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Genevant</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discussed in Note 1, the Company, along with Genevant (a related party), entered into the Moderna Settlement Agreement with Moderna in the first quarter of 2026, whereby Moderna will make an aggregate $950.0 million Noncontingent Settlement Payment to the Company and Genevant on or before July 8, 2026. Under the Company’s license with Genevant, the Company is entitled to receive, after deduction of litigation costs, 20% of the Noncontingent Settlement Payment. During the three months ended March 31, 2026, the Company recognized revenue of $178.7 million based on its estimate of its portion of the Noncontingent Settlement Payment, which includes reimbursement of the Company’s litigation costs. As of March 31, 2026, the Company recorded a corresponding receivable of $178.7 million related to the estimate of its portion of the Noncontingent Settlement Payment, which is included in current assets. The Company had no income tax expense during the three months ended March 31, 2026, as it utilized available net operating loss carryforwards to offset the taxable income generated from recognizing the revenue.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amounts were recognized related to the Contingent Settlement Payment as of March 31, 2026.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summarized in the following table: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2700" w:type="dxa"/>
            <w:vAlign w:val="bottom"/>
            <w:gridSpan w:val="4"/>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7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190"/>
        </w:trPr>
        <w:tc>
          <w:tcPr>
            <w:tcW w:w="7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Acuitas Therapeutics, Inc.</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revenue from Genevant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178,741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3"/>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179,126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r>
    </w:tbl>
    <w:p>
      <w:pPr>
        <w:spacing w:after="0" w:line="30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Shareholders’ equity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1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and preferred shares, without par value, and 1,164,000 Series A participating convertible preferred shares, without par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4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Effective March 26, 2025, the Company terminated its Open Market Sale Agreement with Jefferies LLC (Jefferies) dated December 20, 2018, as amended (the Sale Agreement), under which the Company could issue and sell common shares, from time to time.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issue any common shares pursuant to the Sale Agreement during the three months ended March 31, 2026 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table below summarizes information about the Company’s stock-based compensation for the three months ended March 31, 2026 and 2025 and the expense recognized in the condensed consolidated statements of operations:</w:t>
      </w:r>
    </w:p>
    <w:p>
      <w:pPr>
        <w:sectPr>
          <w:pgSz w:w="11900" w:h="16838" w:orient="portrait"/>
          <w:cols w:equalWidth="0" w:num="1">
            <w:col w:w="11240"/>
          </w:cols>
          <w:pgMar w:left="320" w:top="101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36130" cy="133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Options granted during period</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Weighted average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41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Restricted stock units granted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36130" cy="141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 date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Stock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36130" cy="133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41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stock compensation expense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15"/>
        </w:trPr>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952,400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3,943,722</w:t>
            </w:r>
          </w:p>
        </w:tc>
      </w:tr>
      <w:tr>
        <w:trPr>
          <w:trHeight w:val="228"/>
        </w:trPr>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429"/>
        </w:trPr>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371,500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901,900</w:t>
            </w:r>
          </w:p>
        </w:tc>
      </w:tr>
      <w:tr>
        <w:trPr>
          <w:trHeight w:val="228"/>
        </w:trPr>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424"/>
        </w:trPr>
        <w:tc>
          <w:tcPr>
            <w:tcW w:w="300" w:type="dxa"/>
            <w:vAlign w:val="bottom"/>
          </w:tcPr>
          <w:p>
            <w:pPr>
              <w:spacing w:after="0"/>
              <w:rPr>
                <w:sz w:val="24"/>
                <w:szCs w:val="24"/>
                <w:color w:val="auto"/>
              </w:rPr>
            </w:pPr>
          </w:p>
        </w:tc>
        <w:tc>
          <w:tcPr>
            <w:tcW w:w="264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300" w:type="dxa"/>
            <w:vAlign w:val="bottom"/>
          </w:tcPr>
          <w:p>
            <w:pPr>
              <w:spacing w:after="0"/>
              <w:rPr>
                <w:sz w:val="16"/>
                <w:szCs w:val="16"/>
                <w:color w:val="auto"/>
              </w:rPr>
            </w:pPr>
          </w:p>
        </w:tc>
        <w:tc>
          <w:tcPr>
            <w:tcW w:w="17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441"/>
        </w:trPr>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8"/>
        </w:trPr>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2"/>
        </w:trPr>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r>
    </w:tbl>
    <w:p>
      <w:pPr>
        <w:spacing w:after="0" w:line="200" w:lineRule="exact"/>
        <w:rPr>
          <w:sz w:val="20"/>
          <w:szCs w:val="20"/>
          <w:color w:val="auto"/>
        </w:rPr>
      </w:pPr>
    </w:p>
    <w:p>
      <w:pPr>
        <w:sectPr>
          <w:pgSz w:w="11900" w:h="16838" w:orient="portrait"/>
          <w:cols w:equalWidth="0" w:num="2">
            <w:col w:w="7580" w:space="720"/>
            <w:col w:w="2940"/>
          </w:cols>
          <w:pgMar w:left="320" w:top="1011" w:right="339" w:bottom="1440" w:gutter="0" w:footer="0" w:header="0"/>
          <w:type w:val="continuous"/>
        </w:sectPr>
      </w:pPr>
    </w:p>
    <w:p>
      <w:pPr>
        <w:spacing w:after="0" w:line="3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Segment Reporting</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has one reportable segment. The Company’s chief operating decision maker is the Chief Executive Officer and President. The accounting policies of the single segment are the same as those described in the summary of significant accounting policies. The chief operating decision maker assesses performance for the single segment and decides how to allocate resources based on net income (loss) that also is reported on the condensed consolidated statements of operations and comprehensive income (loss) as consolidated net income (loss). The chief operating decision maker uses net income (loss) to monitor budget versus actual results and to evaluate the overall cash burn of the business.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7"/>
        </w:trPr>
        <w:tc>
          <w:tcPr>
            <w:tcW w:w="8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Imdusiran clinical development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r>
      <w:tr>
        <w:trPr>
          <w:trHeight w:val="223"/>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AB-101-001 clinical development expense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23"/>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research and development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23"/>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23"/>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expense</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r>
      <w:tr>
        <w:trPr>
          <w:trHeight w:val="223"/>
        </w:trPr>
        <w:tc>
          <w:tcPr>
            <w:tcW w:w="840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Other segment expense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1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(24,526)</w:t>
            </w:r>
          </w:p>
        </w:tc>
      </w:tr>
      <w:tr>
        <w:trPr>
          <w:trHeight w:val="223"/>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169,695</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(24,526)</w:t>
            </w:r>
          </w:p>
        </w:tc>
      </w:tr>
    </w:tbl>
    <w:p>
      <w:pPr>
        <w:spacing w:after="0" w:line="310" w:lineRule="exact"/>
        <w:rPr>
          <w:sz w:val="20"/>
          <w:szCs w:val="20"/>
          <w:color w:val="auto"/>
        </w:rPr>
      </w:pPr>
    </w:p>
    <w:p>
      <w:pPr>
        <w:ind w:left="640" w:hanging="319"/>
        <w:spacing w:after="0" w:line="268" w:lineRule="auto"/>
        <w:tabs>
          <w:tab w:leader="none" w:pos="5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includes the change in the fair value of contingent consideration, non-cash interest expenses and foreign currency exchange gains and losses.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type w:val="continuous"/>
        </w:sectPr>
      </w:pPr>
    </w:p>
    <w:bookmarkStart w:id="18" w:name="page19"/>
    <w:bookmarkEnd w:id="18"/>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Restructuring</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March 2025, the Company implemented changes to focus its efforts on advancing the clinical development of imdusiran and AB-101. The decision was made to exit the Company’s corporate headquarters in Warminster, Pennsylvania, implement workforce reductions and discontinue in-house scientific research. The restructuring had resulted in a total workforce after reductions of 18 employees as of March 31, 2026.</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there was less than $0.1 million of accrued restructuring costs for medical benefits and a $0.2 million accrual of lease-related operating expenses included in accounts payable and accrued liabilities.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2025 and our unaudited condensed consolidated financial statements for the three months ended March 31, 2026. Our consolidated financial statements have been prepared in accordance with United States generally accepted accounting principles and are presented in U.S. dollars.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ARBUTUS BIOPHARMA CORPORATION</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Throughout this Quarterly Report on Form 10-Q (Form 10-Q), the “Company,” “Arbutus,” “we,” “us,” and “our,” except where the context requires otherwise, refer to Arbutus Biopharma Corporation and its consolidated subsidiary.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14"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our strategy, future operations, preclinical studies, clinical trials, and prospects;</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plans and expectations regarding our patent infringement lawsuit against Pfizer/BioNTech, and the expected timing thereof;</w:t>
      </w:r>
    </w:p>
    <w:p>
      <w:pPr>
        <w:spacing w:after="0" w:line="1" w:lineRule="exact"/>
        <w:rPr>
          <w:rFonts w:ascii="Times New Roman" w:cs="Times New Roman" w:eastAsia="Times New Roman" w:hAnsi="Times New Roman"/>
          <w:sz w:val="18"/>
          <w:szCs w:val="18"/>
          <w:color w:val="auto"/>
        </w:rPr>
      </w:pPr>
    </w:p>
    <w:p>
      <w:pPr>
        <w:ind w:left="640" w:hanging="319"/>
        <w:spacing w:after="0" w:line="274" w:lineRule="auto"/>
        <w:tabs>
          <w:tab w:leader="none" w:pos="63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beliefs, plans and expectations regarding Moderna’s limited appeal following the settlement of our patent infringement litigation, the noncontingent lump sum payment and the contingent lump sum payment included in our settlement with Moderna, and the expected timing thereof;</w:t>
      </w:r>
    </w:p>
    <w:p>
      <w:pPr>
        <w:ind w:left="640" w:hanging="319"/>
        <w:spacing w:after="0" w:line="243"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a potential return of capital to our shareholders in connection with the settlement of our patent infringement lawsuits against Moderna, and the expected timing thereof;</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plans and expectations regarding our patent infringement lawsuit against the United States, and the expected timing thereof;</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candidates to achieve their desired or anticipated outcomes;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timing and results of our clinical development plans and clinical trials, including clinical collaborations with third parties;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a therapy for chronic hepatitis B infection, a disease of the liver caused by the hepatitis B virus;</w:t>
      </w:r>
    </w:p>
    <w:p>
      <w:pPr>
        <w:spacing w:after="0" w:line="3" w:lineRule="exact"/>
        <w:rPr>
          <w:rFonts w:ascii="Times New Roman" w:cs="Times New Roman" w:eastAsia="Times New Roman" w:hAnsi="Times New Roman"/>
          <w:sz w:val="18"/>
          <w:szCs w:val="18"/>
          <w:color w:val="auto"/>
        </w:rPr>
      </w:pPr>
    </w:p>
    <w:p>
      <w:pPr>
        <w:jc w:val="both"/>
        <w:ind w:left="640" w:hanging="319"/>
        <w:spacing w:after="0" w:line="243"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 to prevent complications of hepatitis B virus disease progression, to decrease hepatitis B virus burden by minimizing patient stigma and to address the need for finite and more efficacious hepatitis B virus treatments that further improve long-term outcomes and reduce associated healthcare costs;</w:t>
      </w:r>
    </w:p>
    <w:p>
      <w:pPr>
        <w:spacing w:after="0" w:line="2"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product candidates to improve upon the standard of care to treat hepatitis B infection and provide clinical benefits to hepatitis B patients;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financing through a combination of financing activities and operations;</w:t>
      </w:r>
    </w:p>
    <w:p>
      <w:pPr>
        <w:spacing w:after="0" w:line="3"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returns and benefits from strategic alliances, licensing agreements, and development collaborations with third parties, and the timing thereof;</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technology licensed to third parties, and the timing thereof;</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 and expense fluctuation and guidance;</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of announcing data from our ongoing clinical trials;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net cash burn;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for how long we can fund our operations with our existing cash resources,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1-Financial Statements (Unaudited),” and “Part I, Item 2-Management’s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2025 (the Form 10-K), and in particular the risks and uncertainties discussed under “Item 1A-Risk Factors” of this Form 10-Q and the Form 10-K. As a result, you should not place undue reliance on forward-looking statements.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 (the SEC).</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foregoing cautionary statements are intended to qualify all forward-looking statements wherever they may appear in this Form 10-Q. For all forward-looking statements, we claim protection of the safe harbor contained in the Private Securities Litigation Reform Act of 1995.</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Form 10-Q also contains estimates, projections and other information concerning our industry, our business,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clinical-stage biopharmaceutical company focused on infectious disease. We are currently developing imdusiran (AB-729), our proprietary, GalNAc-conjugated, subcutaneously-delivered ribonucleic acid interference (RNAi) therapeutic, and AB-101, our proprietary oral PD-L1 inhibitor, for the treatment of chronic hepatitis B (cHBV).  </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continue to protect and defend our intellectual property, which is the subject of our ongoing lawsuit against Pfizer Inc. and BioNTech SE (collectively, Pfizer/BioNTech) for their use of our patented lipid nanoparticle (LNP) technology in their COVID-19 messenger ribonucleic acid interference (mRNA)-LNP vaccines. The court issued a claim construction ruling in September 2025, which construed the disputed claim terms in a manner we generally consider to be favorable. The parties are awaiting further scheduling in the litigation.</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On March 3, 2026, we, along with Genevant Sciences GmbH and, solely for specified purposes, its parent company Genevant Sciences Ltd. (collectively, Genevant, a related party), entered into a settlement agreement (the Moderna Settlement Agreement) with Moderna Inc. and ModernaTX, Inc. (together, Moderna) to resolve all patent infringement litigation and patent revocation proceedings involving Moderna and its affiliates pending in the United States and internationally (the Moderna LNP Litigation). Under the terms of the Moderna Settlement Agreement, Moderna will make an aggregate $950.0 million noncontingent lump sum payment (the Noncontingent Settlement Payment) to us and Genevant on or before July 8, 2026. In addition, Moderna is obligated to pay us and Genevant an additional aggregate contingent lump sum payment of $1.3 billion (the Contingent Settlement Payment) upon a ruling that is favorable to us and Genevant in a limited appeal related to 28 U.S.C. §1498 (§1498) that Moderna filed, as allowed under the Moderna Settlement Agreement (the Moderna §1498 Appeal). Under our license with Genevant, we are entitled to receive, after deduction of litigation costs, 20% of the Noncontingent Settlement Payment. We currently expect to receive an estimated $178.7 million of the Noncontingent Settlement Payment, which includes reimbursement of our litigation costs. In addition, as of March 31, 2026, we owned approximately 16% of the outstanding common equity of Genevant. We are currently evaluating a return of capital to our shareholders in the third quarter of calendar year 2026, following the receipt of our portion of the Noncontingent Settlement Payment.</w:t>
      </w:r>
    </w:p>
    <w:p>
      <w:pPr>
        <w:spacing w:after="0" w:line="390"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In April 2026, the U.S. Food and Drug Administration (FDA) granted Fast Track designation for imdusiran for the treatment of cHBV. The FDA’s Fast Track program is designed to facilitate the development and expedite the review of investigational therapies to treat serious conditions with unmet medical need.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strategy is focused on maximizing opportunities for our cHBV development programs and, through our exclusive license with Genevant, our in-house developed LNP technology.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LNP technology</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February 2022 and April 2023, we filed patent infringement lawsuits in the United States against Moderna and Pfizer/BioNTech, respectively, seeking compensation for their unlicensed use of our patented technologies in their COVID-19 mRNA-LNP vaccines. It is well established in the scientific literature that the most significant technological hurdle to developing and deploying medicines using mRNA is engineering a safe and effective way to deliver the mRNA to human cells. Scientists at Arbutus and Genevant have spent years developing and refining LNP technology, which has been licensed for various applications to many different third parties. Our and Genevant’s LNP technology relies on microscopic particles built from four carefully selected types of fat-like molecules to shelter and protect nucleic acid molecules, including ribonucleic acid (RNA) molecules like the messenger RNA (mRNA) utilized in COVID-19 mRNA-LNP vaccines. This technology enables the mRNA to travel through the human body to a target cell and through the target cell’s membrane, where it releases the mRNA. Without this crucial technology, the mRNA would quickly degrade in the body and be ineffective. We continue to protect and defend our intellectual property, which is the subject of our ongoing lawsuit against Pfizer/BioNTech for their use of our patented LNP technology in their COVID-19 mRNA-LNP vaccines.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cHBV programs</w:t>
      </w:r>
    </w:p>
    <w:p>
      <w:pPr>
        <w:spacing w:after="0" w:line="2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Our hepatitis B (HBV) strategy has been to develop a functional cure for patients with cHBV infection with imdusiran as a potential cornerstone in a combination therapy. Development to date has emphasized a combination of compounds that can suppress hepatitis B virus deoxyribonucleic acid (HBV DNA) replication, hepatitis B virus RNA (HBV RNA) transcription, and hepatitis B surface antigen (HBsAg) and other viral protein expression, as well as boost patients’ HBV-specific immune response, which together could address the most important elements to achieving a functional cure. Functional cure is defined as sustained HBsAg seroclearance and HBV DNA less than the lower limit of quantification (&lt;LLOQ) after 24 weeks off treatment, with or without anti-hepatitis B surface antibodies (anti-HBs). A functional cure for patients with cHBV could prevent complications of HBV disease progression, decrease HBV burden by minimizing patient stigma and address the need for finite and more efficacious HBV treatments that further improve long-term outcomes and reduce associated healthcare costs. Our current ongoing evaluation of our HBV strategy also includes analysis of imdusiran’s potential to suppress HBV DNA replication and HBV RNA and HBsAg expression, without any immunotherapeutics. We are also continuing to evaluate and refine potential Phase 2b clinical trial designs for imdusiran.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HBV product pipeline includes the following:</w:t>
      </w:r>
    </w:p>
    <w:p>
      <w:pPr>
        <w:spacing w:after="0" w:line="240" w:lineRule="exact"/>
        <w:rPr>
          <w:sz w:val="20"/>
          <w:szCs w:val="20"/>
          <w:color w:val="auto"/>
        </w:rPr>
      </w:pPr>
    </w:p>
    <w:p>
      <w:pPr>
        <w:jc w:val="both"/>
        <w:ind w:left="640" w:hanging="319"/>
        <w:spacing w:after="0" w:line="245"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Imdusiran (AB-729) is our proprietary, GalNAc-conjugated, subcutaneously-delivered RNAi therapeutic product candidate that suppresses all HBV antigens, including HBsAg, which is thought to be a key prerequisite to enable potentiation of a patient’s immune system to respond to HBV. Over 200 patients with cHBV infection have been dosed with imdusiran in Phase 1 and Phase 2a clinical trials. Clinical data generated thus far has shown imdusiran provides meaningful reductions in HBsAg and other viral proteins, HBV DNA and HBV RNA, and leads to functional cure in some patients, while being generally safe and well-tolerated. Benefits were observed in patients across all evaluated HBV genotypes (A to E). In the Phase 1 and Phase 2a clinical trials, eight patients achieved functional cure, off all treatment, in combination therapy that includes imdusiran, including two patients who did not receive any pegylated interferon alfa-2a (IFN) as part of the combination therapy. An additional 41 patients across our Phase 2a clinical trials were able to remain off nucleos(t)ide analogue (NA) therapy for at least 48 weeks after discontinuing NA therapy during their Phase 2a clinical trials. A total of 47% (49/105) of all Phase 2a patients achieved functional cure or remained off NA therapy after discontinuing NA therapy during their Phase 2a clinical trials. Of the 18 patients who are currently being followed long-term (which includes the eight functionally cured patients described above and 10 patients who discontinued and remained off NA therapy), one patient who discontinued NA therapy achieved functional cure during the long-term follow-up period, and 89% of the 18 patients continue to remain off NA therapy for between 82 and 134 weeks. Two of the original eight functionally cured patients seroreverted during long-term follow-up, but remain virally suppressed and off NA therapy. Furthermore, among an additional 11 patients with available data who discontinued NA therapy during their Phase 2a clinical trials, but were subsequently discontinued early from long-term follow-up, one patient achieved functional cure and two restarted NA therapy. To date, a total of 10 patients have achieved functional cure during our Phase 2a clinical trials and long-term follow-up.</w:t>
      </w:r>
    </w:p>
    <w:p>
      <w:pPr>
        <w:spacing w:after="0" w:line="220" w:lineRule="exact"/>
        <w:rPr>
          <w:rFonts w:ascii="Times New Roman" w:cs="Times New Roman" w:eastAsia="Times New Roman" w:hAnsi="Times New Roman"/>
          <w:sz w:val="18"/>
          <w:szCs w:val="18"/>
          <w:color w:val="auto"/>
        </w:rPr>
      </w:pPr>
    </w:p>
    <w:p>
      <w:pPr>
        <w:jc w:val="both"/>
        <w:ind w:left="640" w:hanging="319"/>
        <w:spacing w:after="0" w:line="293" w:lineRule="auto"/>
        <w:tabs>
          <w:tab w:leader="none" w:pos="636" w:val="left"/>
        </w:tabs>
        <w:numPr>
          <w:ilvl w:val="0"/>
          <w:numId w:val="10"/>
        </w:numPr>
        <w:rPr>
          <w:rFonts w:ascii="Arial" w:cs="Arial" w:eastAsia="Arial" w:hAnsi="Arial"/>
          <w:sz w:val="16"/>
          <w:szCs w:val="16"/>
          <w:color w:val="auto"/>
        </w:rPr>
      </w:pPr>
      <w:r>
        <w:rPr>
          <w:rFonts w:ascii="Times New Roman" w:cs="Times New Roman" w:eastAsia="Times New Roman" w:hAnsi="Times New Roman"/>
          <w:sz w:val="16"/>
          <w:szCs w:val="16"/>
          <w:color w:val="auto"/>
        </w:rPr>
        <w:t>AB-101 is our proprietary oral PD-L1 inhibitor that has the potential to activate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The data from healthy subjects in Parts 1 and 2 and cHBV patients in Part 3 of this clinical trial have shown that AB-101 was generally well-tolerated with evidence of high receptor occupancy.</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To help position imdusiran as a potential cornerstone in a combination therapy, we fully enrolled two Phase 2a clinical trials that combined imdusiran with other agents. The intent of these trials was to initially lower HBsAg levels with imdusiran and then administer a complementary agent, an immune modulator or a therapeutic vaccine, to further lower HBsAg levels and promote anti-HBV immunity. We believe that if we can lower HBsAg and other viral antigens and promote immunity, we may achieve sustained HBsAg seroclearance and HBV DNA &lt;LLOQ, potentially leading to a functional cure in patients with cHBV. Currently, patients with cHBV have limited treatment options - either NA therapy, which requires lifelong treatment, or a finite duration of IFN, which is poorly tolerated and has serious complications and side effects. We believe patients can see significant benefits with imdusiran even without functional cure if they are well enough to be able to discontinue NA therapy and maintain viral suppression.</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Phase 2a clinical trials, eight patients with cHBV achieved functional cure following treatment with imdusiran and NA therapy in combination with either IFN or with low dose nivolumab plus an immunotherapeutic. Seven of those eight total patients who achieved functional cure with the 60mg dose of imdusiran had HBsAg levels less than 1000 IU/mL at baseline. According to the literature, patients with HBsAg levels &lt;1000 IU/mL represent a significant portion of the cHBV population.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6"/>
          <w:szCs w:val="16"/>
          <w:color w:val="auto"/>
        </w:rPr>
        <w:t>To date, six of those eight patients continue to sustain functional cure for periods ranging between 82 to 134 weeks, while two patients have seroreverted but remain virally suppressed and off NA therapy. In addition to the patients who achieved functional cure during their Phase 2a clinical trials, 41 more patients were able to remain off NA therapy for at least 48 weeks during their clinical trials after discontinuing NA therapy following treatment with imdusiran. In total, 47% (49/105) of all Phase 2a patients either achieved functional cure or remained off NA therapy after discontinuing NA therapy during their clinical trials following treatment with imdusiran. Of the 10 patients who were able to discontinue and remain off NA therapy for at least 48 weeks who are currently being followed long-term in our rollover study, one patient achieved functional cure during the long-term follow-up period, and a total of eight patients have continued to remain off NA therapy for periods ranging between 96 to 131 weeks. These results suggest that imdusiran has lasting durability in helping patients maintain viral suppression and may help patients achieve beneficial clinical outcomes years after completing finite imdusiran regimens.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imdusiran development program includes the following two Phase 2a clinical trials:</w:t>
      </w:r>
    </w:p>
    <w:p>
      <w:pPr>
        <w:spacing w:after="0" w:line="108" w:lineRule="exact"/>
        <w:rPr>
          <w:sz w:val="20"/>
          <w:szCs w:val="20"/>
          <w:color w:val="auto"/>
        </w:rPr>
      </w:pPr>
    </w:p>
    <w:p>
      <w:pPr>
        <w:jc w:val="both"/>
        <w:ind w:left="640" w:hanging="319"/>
        <w:spacing w:after="0" w:line="256"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Imdusiran in combination with IFN, an approved immunomodulator, and ongoing standard-of-care NA therapy in patients with cHBV infection (IM-PROVE I). At the American Association for the Study of Liver Diseases (AASLD) – The Liver Meeting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 November 2024, we presented data from our IM-PROVE I Phase 2a clinical trial showing that six doses of imdusiran and 24 weeks of IFN added to ongoing NA therapy led to a functional cure rate of 50% (3/6) in hepatitis B e antigen (HBeAg) negative patients with baseline HBsAg levels less than 1000 IU/mL, and an overall functional cure rate of 25% (3/12). Additionally, three cHBV patients from other cohorts in the IM-PROVE I clinical trial achieved functional cure. Those patients who achieved functional cure also seroconverted. Furthermore, an additional 10 patients who did not achieve functional cure were able to remain off NA therapy for at least 48 weeks after discontinuing NA therapy following treatment with imdusiran. At the AASLD – The Liver Meeting in November 2025, we presented new analysis from our IM-PROVE I Phase 2a clinical trial showing beneficial clinical outcomes were observed across all evaluated HBV genotypes (A to D), even in genotypes described in literature as not responsive to IFN treatment. These data from the IM-PROVE I trial suggest that the combination of imdusiran, 24 weeks of IFN and NA therapy was generally safe and well-tolerated with beneficial clinical outcomes, and that imdusiran may enhance responsiveness to IFN in HBV genotypes that are poor responders to IFN.</w:t>
      </w:r>
    </w:p>
    <w:p>
      <w:pPr>
        <w:spacing w:after="0" w:line="75" w:lineRule="exact"/>
        <w:rPr>
          <w:rFonts w:ascii="Times New Roman" w:cs="Times New Roman" w:eastAsia="Times New Roman" w:hAnsi="Times New Roman"/>
          <w:sz w:val="17"/>
          <w:szCs w:val="17"/>
          <w:color w:val="auto"/>
        </w:rPr>
      </w:pPr>
    </w:p>
    <w:p>
      <w:pPr>
        <w:jc w:val="both"/>
        <w:ind w:left="640" w:hanging="319"/>
        <w:spacing w:after="0" w:line="254"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Imdusiran in combination with VTP-300, Barinthus Biotherapeutics plc’s (Barinthus) HBV immunotherapeutic, and ongoing NA therapy in patients with cHBV infection, including a cohort with the addition of low dose nivolumab (Opdivo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(IM-PROVE II). At the European Association for the Study of the Liver (EASL) Congress in May 2025, we presented data from this clinical trial showing that 25% (2/8) of the patients with low dose nivolumab added to the treatment regimen and with baseline HBsAg levels less than 1000 IU/mL achieved functional cure. Furthermore, an additional 31 patients (including some HBeAg positive patients) who did not achieve functional cure were able to remain off NA therapy for at least 48 weeks after discontinuing NA therapy following treatment with imdusiran. These data from the IM-PROVE II trial suggest that the combination of imdusiran, VTP-300, NA therapy and low dose nivolumab was generally safe and well-tolerated with beneficial clinical outcomes.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pipeline consists of two product candidates that are designed to suppress HBV DNA and HBV RNA, reduce HBsAg and other viral antigens and/or boost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HBV-specific immune responses, to allow cHBV patients to become and remain treatment-free,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5708650" cy="3154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865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explore pipeline opportunities in the form of potential strategic alliances, in order to accelerate the development of these programs.</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April 2026, the FDA granted Fast Track designation for imdusiran for the treatment of cHBV. The FDA’s Fast Track program is designed to facilitate the development and expedite the review of investigational therapies to treat serious conditions where the investigational therapy demonstrates the potential to address unmet medical need. A drug granted Fast Track designation may be eligible for several benefits, including earlier and more frequent meetings and communications with the FDA and the potential for rolling review of its application. If relevant criteria are met, investigational therapies that receive Fast Track designation may also qualify for Accelerated Approval or Priority Review of a Biologics License Application or New Drug Application.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RNAi therapeutic (imdusiran, AB-729)</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RNAi therapeutics represent a significant advancement in drug development. RNAi therapeutics utilize a natural pathway within cells to effectively silence genes by eliminating the disease-causing proteins that they code for. We are developing an RNAi therapeutic, imdusiran, that is designed to reduce HBV DNA, HBV RNA, HBsAg and other HBV antigen expression in people with cHBV infection. Reducing HBsAg in addition to other viral proteins and HBV DNA are widely believed to be key prerequisites to potentiate an effective patient’s immune response against the virus.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Imdusiran has the following advantages over other RNAi therapeutics in development for cHBV infection:</w:t>
      </w:r>
    </w:p>
    <w:p>
      <w:pPr>
        <w:spacing w:after="0" w:line="108" w:lineRule="exact"/>
        <w:rPr>
          <w:sz w:val="20"/>
          <w:szCs w:val="20"/>
          <w:color w:val="auto"/>
        </w:rPr>
      </w:pPr>
    </w:p>
    <w:p>
      <w:pPr>
        <w:ind w:left="640" w:hanging="315"/>
        <w:spacing w:after="0" w:line="266" w:lineRule="auto"/>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Targeted to hepatocytes using our proprietary covalently conjugated GalNAc delivery technology which provides highly efficient liver-targeted uptake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and enables subcutaneous dosing.</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Unique nucleotide sequence that is single trigger and targets all HBV transcripts including HBx from cccDNA and integrated HBV DNA.</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5" w:name="page26"/>
    <w:bookmarkEnd w:id="25"/>
    <w:p>
      <w:pPr>
        <w:ind w:left="640" w:hanging="315"/>
        <w:spacing w:after="0" w:line="268" w:lineRule="auto"/>
        <w:rPr>
          <w:sz w:val="20"/>
          <w:szCs w:val="20"/>
          <w:color w:val="auto"/>
        </w:rPr>
      </w:pPr>
      <w:r>
        <w:rPr>
          <w:rFonts w:ascii="Times New Roman" w:cs="Times New Roman" w:eastAsia="Times New Roman" w:hAnsi="Times New Roman"/>
          <w:sz w:val="18"/>
          <w:szCs w:val="18"/>
          <w:color w:val="auto"/>
        </w:rPr>
        <w:t>– Specific chemical modifications and unique asymmetric RNA structure that reduces off-target effects while maintaining/enhancing potency and providing durable liver exposure and in vivo therapeutic effect.</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Delivered at a low dose and infrequently (4, 8 or 12 week intervals).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Immune activation properties with HBV-specific T-cell immune restoration and a decrease in exhausted T-cells in responder patients.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 Phase 2a proof-of-concept clinical trial evaluating imdusiran in combination with IFN</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completed IM-PROVE I, a randomized, open label, multicenter Phase 2a proof-of-concept clinical trial investigating the safety and antiviral activity of imdusiran in combination with a short course of IFN and ongoing NA therapy in 43 stably NA-suppressed, HBeAg negative, non-cirrhotic patients with cHBV infection. Our primary intent for this trial was to initially lower HBsAg and other viral proteins, HBV DNA and HBV RNA levels with imdusiran and then administer IFN as an immunomodulator to promote anti-HBV immune responses. Our belief in this trial was that if we can lower HBsAg, other viral proteins and HBV DNA levels and promote immune responses, we may achieve sustained HBsAg seroclearance and HBV DNA &lt;LLOQ, potentially leading to a functional cure. After patients received 24-weeks of dosing with imdusiran (60mg every 8 weeks, 4 doses) plus ongoing NA therapy, patients were randomized into one of four cohorts to receive a short course of IFN plus ongoing NA therapy for either 12 or 24 weeks, with or without up to two additional doses of imdusiran across an additional 16 week period. After completion of the assigned IFN treatment period, all patients remained on NA therapy for a 24-week follow-up period, and then discontinued NA treatment, provided they met protocol-defined NA therapy discontinuation criteria. Patients who discontinued NA therapy entered an intensive follow-up period for 48 weeks.</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Select key data from 12 patients in Cohort A1 of this Phase 2a clinical trial who received 6 doses of imdusiran, 24 weeks of IFN and ongoing NA therapy, as presented at the AASLD – The Liver Meeting in November 2024, include:</w:t>
      </w:r>
    </w:p>
    <w:p>
      <w:pPr>
        <w:spacing w:after="0" w:line="195" w:lineRule="exact"/>
        <w:rPr>
          <w:sz w:val="20"/>
          <w:szCs w:val="20"/>
          <w:color w:val="auto"/>
        </w:rPr>
      </w:pPr>
    </w:p>
    <w:p>
      <w:pPr>
        <w:ind w:left="560" w:hanging="23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(3/6) of patients with baseline HBsAg &lt;1000 IU/mL achieved functional cure.</w:t>
      </w:r>
    </w:p>
    <w:p>
      <w:pPr>
        <w:spacing w:after="0" w:line="55"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25% (3/12) of patients achieved functional cure.</w:t>
      </w:r>
    </w:p>
    <w:p>
      <w:pPr>
        <w:spacing w:after="0" w:line="55"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patients who achieved functional cure also seroconverted with anti-HBs levels increasing as patients lost HBsAg.</w:t>
      </w:r>
    </w:p>
    <w:p>
      <w:pPr>
        <w:spacing w:after="0" w:line="2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At the EASL Congress in May 2025, we presented a poster characterizing the demographics and virological markers of the six cHBV patients across dosing cohorts in the IM-PROVE I Phase 2a clinical trial who achieved functional cure. The data showed that HBsAg at baseline was the only apparent marker in common associated with functional cure. In a second poster, we reported that patients who achieved functional cure in the 24-week IFN treatment cohorts experienced HBsAg seroclearance associated with transient HBV RNA elevations that were preceded by or coincided with increases in immunological markers. At the AASLD – The Liver Meeting in November 2025, we presented new analysis from our IM-PROVE I Phase 2a clinical trial showing beneficial clinical outcomes were observed across all evaluated HBV genotypes (A to D).</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a total of 10 patients in IM-PROVE I who did not achieve functional cure were still able to remain off NA therapy for at least 48 weeks after discontinuing NA therapy following treatment with imdusiran. Across all cohorts and all baseline HBsAg levels, 37% (16/43) of patients either achieved functional cure or remained off NA therapy for at least 48 weeks after discontinuing NA therapy following treatment with imdusiran at 60mg.</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These data from the IM-PROVE I trial suggest that the combination of imdusiran and IFN was generally safe and well-tolerated. There were no serious adverse events related to imdusiran, IFN or NA therapy, and no adverse events leading to discontinuation. The most common imdusiran-related treatment emergent adverse events (TEAEs) were injection site bruising and transient alanine aminotransferase elevations, which occurred in association with decreasing HBsAg levels and/or markers of immune activation, and which returned to baseline values in all instances. The IFN-related TEAEs were consistent with the known safety profile of IFN.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II Phase 2a proof-of-concept clinical trial evaluating imdusiran in combination with Barinthus’ VTP-300</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Through a clinical collaboration agreement with Barinthus that we entered into in July 2021, we completed IM-PROVE II, a Phase 2a proof-of-concept clinical trial evaluating the safety, antiviral activity and immunogenicity of a combination treatment with Barinthus’ VTP-300, an HBV immunotherapeutic, administered after imdusiran in patients with cHBV infection. The initial trial design enrolled 40 NA-suppressed, HBeAg negative or positive, non-cirrhotic cHBV infected patients. Our primary intent for this trial was to initially lower HBsAg and other viral proteins, HBV DNA and HBV RNA levels with imdusiran and then administer VTP-300 as an immunomodulator to promote anti-HBV immune responses. All patients received imdusiran (60mg every 8 weeks, 4 doses) plus NA therapy for 24 weeks. After week 24, treatment with imdusiran was stopped. Patients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jc w:val="both"/>
        <w:spacing w:after="0" w:line="248" w:lineRule="auto"/>
        <w:rPr>
          <w:sz w:val="20"/>
          <w:szCs w:val="20"/>
          <w:color w:val="auto"/>
        </w:rPr>
      </w:pPr>
      <w:r>
        <w:rPr>
          <w:rFonts w:ascii="Times New Roman" w:cs="Times New Roman" w:eastAsia="Times New Roman" w:hAnsi="Times New Roman"/>
          <w:sz w:val="18"/>
          <w:szCs w:val="18"/>
          <w:color w:val="auto"/>
        </w:rPr>
        <w:t>continued only on NA therapy and were randomized to receive VTP-300 or placebo at week 26 and week 30. At week 48, all patients were evaluated for eligibility to discontinue NA therapy and were followed for an additional 24 to 48 weeks. Subsequently, we amended the IM-PROVE II clinical trial protocol to include another cohort that received imdusiran, VTP-300, NA therapy and low dose nivolumab, an approved PD-1 inhibitor in oncology. In this additional cohort, patients received imdusiran (60mg every 8 weeks, 4 doses) plus NA therapy for 24 weeks, followed by administration of VTP-300 plus up to two low doses of nivolumab while remaining on NA therapy. At week 48, all patients were evaluated for eligibility to discontinue NA therapy, and were followed for an additional 24 to 48 weeks.</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cohort that included low dose nivolumab was the best performing cohort in the IM-PROVE II clinical trial. At the AASLD – The Liver Meeting in November 2024, we presented data from this clinical trial showing that the addition of low dose nivolumab increased rates of HBsAg seroclearance in cHBV patients and that 23% (3/13) of patients who received the treatment regimen with low dose nivolumab achieved HBsAg seroclearance by week 48. At the EASL Congress in May 2025, we presented data showing that 25% (2/8) of patients with low dose nivolumab added to the treatment regimen and with baseline HBsAg&lt;1000 IU/mL achieved functional cure.</w:t>
      </w:r>
    </w:p>
    <w:p>
      <w:pPr>
        <w:spacing w:after="0" w:line="2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Additionally, a total of 31 patients in IM-PROVE II who did not achieve functional cure were still able to remain off NA therapy for at least 48 weeks after discontinuing NA therapy following treatment with imdusiran at 60mg. A total of 53% (33/62) of patients either achieved functional cure or remained off NA therapy for at least 48 weeks after discontinuing NA therapy following treatment with imdusiran at 60mg, across all cohorts and all baseline HBsAg levels, and both HBeAg negative and positive patients. Treatment with imdusiran, VTP-300, NA therapy and low dose nivolumab in this clinical trial was generally safe and well-tolerated. There were no serious adverse events, immune-related adverse events, or discontinuations due to adverse events.</w:t>
      </w:r>
    </w:p>
    <w:p>
      <w:pPr>
        <w:spacing w:after="0" w:line="2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IM-PROVE II clinical trial was managed by us, subject to oversight by a joint development committee comprised of representatives from both companies. We and Barinthus retained full rights to our respective product candidates and split all costs associated with the clinical trial. Pursuant to the agreement, the parties could have undertaken a larger Phase 2b clinical trial depending on the results of the initial Phase 2a clinical trial. However, in January 2025, Barinthus announced a shift in its strategic business focus that included postponing further development of VTP-300. The parties do not intend to undertake a larger Phase 2b with this combination treatment regimen.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AASLD - The Liver Meeting in November 2025, we presented cumulative data across all of our imdusiran clinical trials demonstrating that imdusiran was safe and well-tolerated at all tested repeat doses of 60mg or 90mg, and that beneficial clinical outcomes in our Phase 2a clinical trials were potentially linked to immune reawakening in patients.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Imdusiran Treatment Without Immunotherapeutic</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In our single and multiple ascending dose Phase 1b clinical trial for imdusiran, we enrolled HBeAg negative and positive patients, as well as HBV DNA positive patients not on NA therapy. Across all arms, which included doses up to 180mg, 71% (44/62) of patients achieved HBsAg levels below 100 IU/mL, including 5% (3/62) of patients who achieved HBsAg seroclearance. Additionally, 56% (5/9) of patients who elected to discontinue NA therapy remained off NA therapy for at least three years after discontinuation. Furthermore, all patients in all imdusiran clinical trials showed significant early decreases in HBsAg levels, often observed after the first or second dose of imdusiran. In Group B of IM-PROVE II, after just 24 weeks of imdusiran dosing at just 60mg with only background NA therapy and no other combination agent, 37% (7/19) of patients were able to remain off NA therapy for at least 48 weeks after discontinuing NA therapy, including one patient who achieved HBsAg seroclearance. Based on the effect imdusiran alone appears to have on reducing HBsAg levels and suppressing HBV DNA and HBV RNA replication, we are also evaluating imdusiran as a treatment without any immunotherapeutic.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PD-L1 Inhibitor (AB-101)</w:t>
      </w:r>
    </w:p>
    <w:p>
      <w:pPr>
        <w:spacing w:after="0" w:line="24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PD-L1 inhibitors complement our pipeline of agents and could potentially be an important part of a combination therapy for the treatment of HBV by activating the immune system. Highly functional HBV-specific T-cells within our immune system are believed to be required for long-term HBV viral resolution. However, HBV-specific T-cells become functionally defective, and greatly reduced in number during cHBV infection. One approach to boost HBV-specific T-cells is to prevent PD-L1 proteins from binding to PD-1, which would otherwise lead to inhibition of the HBV-specific immune function of T-cells.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AB-101 is our proprietary oral small-molecule PD-L1 inhibitor candidate that we believe will allow for controlled checkpoint blockade while minimizing the systemic safety issues often seen with checkpoint inhibitor antibody therapies. AB-101 is differentiated from monoclonal antibody checkpoint inhibitors such as durvalumab (anti-PD-L1) and nivolumab (anti-PD-1)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color w:val="auto"/>
        </w:rPr>
        <w:t>because it is liver centric, has a much shorter duration of effect in preclinical models (which may provide dosing and safety advantages), and has a novel mechanism of action as it binds to PD-L1 on the surface of cells causing dimerization, internalization and degradation of the PD-L1 protein.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1a/1b clinical trial to evaluate safety, tolerability and PK/PD of AB-101 (AB-101-001)</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AB-101-001 is a Phase 1a/1b clinical trial designed to investigate the safety, tolerability and PK/PD of single and multiple-ascending oral doses of AB-101 for up to 28 days in healthy subjects and patients with cHBV infection. The trial consists of three parts starting with single ascending doses in healthy subjects, followed by multiple ascending doses in healthy subjects and culminating with multiple doses in patients with cHBV infection. Safety and PK/PD assessments are performed prior to dose escalation in all parts of the clinical trial.</w:t>
      </w:r>
    </w:p>
    <w:p>
      <w:pPr>
        <w:spacing w:after="0" w:line="20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Part 1 of this clinical trial enrolled five sequential cohorts of eight healthy subjects each (6 active: 2 placebo) receiving a single dose of AB-101 at increasing dose levels. In Part 1, all five evaluable subjects in the 40mg cohort showed evidence of 100% receptor occupancy. Part 2 of this clinical trial enrolled three sequential cohorts of ten healthy subjects that each received 10, 25 or 40mg of AB-101 (8 active: 2 placebo) daily for seven days. In Part 2, all subjects in the 40mg cohort showed evidence of high receptor occupancy between 74-100%, with six of the eight subjects demonstrating 100% receptor occupancy during the seven-day dosing period. Across Parts 1 and 2, eleven of the thirteen evaluable healthy subjects that received either single or multiple doses of 40mg of AB-101 achieved 100% receptor occupancy. The data from Part 1 and Part 2 showed that AB-101 was well-tolerated with evidence of high receptor occupancy.</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Part 3 of this clinical trial evaluated repeat doses of AB-101 for 28 days in patients with cHBV. At the EASL Congress in May 2025, we presented data showing that a single dose of 10mg of AB-101 for 28 days in cHBV patients was well tolerated with PD-L1 receptor occupancy similar to that seen in healthy subjects at this dose. At the AASLD - The Liver Meeting in November 2025, we presented a Poster of Distinction highlighting maximal PD-L1 receptor occupancy between 68-100% at the 30mg daily dose. Treatment with AB-101 in Part 3 of this clinical trial was generally safe and well-tolerated. There were no serious adverse events related to AB-101 and no evidence of liver dysfunction.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Collaborations, Royalty Entitlements and Intellectual Property Litigation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Qilu Pharmaceutical Co., Ltd. (Qilu)</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license agreement (the Qilu License Agreement) with Qilu, pursuant to which we granted Qilu a sublicensable, royalty-bearing license, under certain intellectual property owned by us, which was non-exclusive as to development and manufacturing and exclusive with respect to commercialization of imdusiran, including pharmaceutical products that include imdusiran, for the treatment or prevention of HBV in China, Hong Kong, Macau and Taiwan (Greater China and Taiwan).</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partial consideration for the rights granted by us, Qilu paid us a one-time upfront cash payment of $40 million on January 5, 2022 and agreed to pay us up to $245 million, net of withholding taxes, upon the achievement of certain technology transfer, development, regulatory and commercialization milestones. Qilu also agreed to pay us double-digit royalties into the low twenties percent based upon annual net sales of imdusiran in Greater China and Taiwan. The royalties were to be payable on a product-by-product and region-by-region basis, subject to certain limitations.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Qilu was responsible for all costs related to developing, obtaining regulatory approval for, and commercializing imdusiran for the treatment or prevention of HBV in Greater China and Taiwan. Qilu was required to use commercially reasonable efforts to develop, seek regulatory approval for, and commercialize at least one imdusiran product candidate in Greater China and Taiwan. A joint development committee was established between us and Qilu to coordinate and review the development, manufacturing and commercialization plans. Both parties also entered into a supply agreement and related quality agreement pursuant to which we would manufacture and supply Qilu with all quantities of imdusiran necessary for Qilu to develop and commercialize in Greater China and Taiwan until we had completed manufacturing technology transfer to Qilu and Qilu had received all approvals required for it or its designated contract manufacturing organization to manufacture imdusiran in Greater China and Taiwan.</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 with the execution of the Qilu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we and Qilu mutually agreed to conclude our strategic partnership and terminate the Qilu License Agreement and related agreements, and we now once again hold global rights for imdusiran. As no obligations remain under the Qilu License Agreement, we recognized all previously deferred revenue in the second quarter of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(Alnylam) and Acuitas Therapeutics, Inc. (Acuitas)</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LNP technology in exchange for milestone and royalty payments. We have two royalty entitlements to global net sales of ONPATTRO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(Patisiran) (ONPATTRO), an RNA interference therapeutic currently being sold by Alnylam. In addition, we are entitled to receive payments upon the achievement of contractual milestones related to Alnylam’s use of our proprietary LNP technology in other products.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it fails to collect any such future royalties. If this royalty entitlement reverts to us, it has the potential to provide an active royalty stream or to be otherwise monetized again in full or in part. From the inception of the royalty sale through March 31, 2026, an aggregate of $26.7 million of royalties have been earned by OMERS.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are receiving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2025, Alnylam began using our proprietary LNP technology in a product candidate to treat hepatocellular carcinoma (HCC), underscoring the important role our LNP technology plays in the delivery of nucleic acids to the body.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Genevant Sciences, Ltd.</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2018, we entered into an agreement with Roivant Sciences Ltd. (Roivant), our largest shareholder, to launch Genevant Sciences Ltd., a company focused on nucleic acid- and gene editing-based therapeutics enabled by our LNP and ligand conjugate delivery technologies. We licensed rights to our LNP and ligand conjugate delivery platforms to Genevant outside of HBV, except to the extent certain rights had already been licensed to other third parties (the Genevant License). We retained all rights to our LNP and conjugate delivery platforms for HBV.</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Genevant License, as amended, if a third-party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2020, Roivant recapitalized Genevant through an equity investment and conversion of previously issued convertible debt securities held by Roivant. We participated in the recapitalization of Genevant with an equity investment of $2.5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recapitalization, the three parties entered into an Amended and Restated Shareholders Agreement that provides Roivant with substantial control of Genevant. We have the right to have a non-voting observer attend meetings of Genevant’s Board of Directors.</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of March 31, 2026, we owned approximately 16% of the outstanding common equity of Genevant and the carrying value of our investment in Genevant was zero. Our entitlement to receive future royalties or sublicensing revenue from Genevant was not impacted by the recapitalization.</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Under the terms of the Moderna Settlement Agreement, Moderna will make an aggregate $950.0 million Noncontingent Settlement Payment to us and Genevant on or before July 8, 2026. In addition, Moderna is obligated to make an additional Contingent Settlement Payment of up to an aggregate $1.3 billion to us and Genevant upon the occurrence of certain events related to the Moderna §1498 Appeal, but which may be subject to repayment. Under the Genevant License, we are entitled to receive, after deduction of litigation costs, 20% of the Noncontingent Settlement Payment, exclusive of our ownership of approximately 16% of the outstanding common equity of Genevant. We currently expect to receive an estimated $178.7 million of the Noncontingent Settlement Payment, which includes reimbursement of our litigation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April 4, 2023, we and Genevant filed a lawsuit in the United States District Court for the District of New Jersey against Pfizer/BioNTech seeking damages for infringement of United States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in September 2025, the court issued a claim construction ruling, which construed the disputed claim terms in a manner we generally consider to be favorable. The parties are awaiting further scheduling in the litigation.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February 28, 2022, we and Genevant filed a lawsuit in the United States District Court for the District of Delaware against Moderna seeking damages for infringement of United States Patent Nos. 8,058,069, 8,492,359, 8,822,668, 9,364,435, 9,504,651, and 11,141,378 in the manufacture and sale of MRNA-1273, Moderna’s vaccine for COVID-19. On March 3, 2025, we and Genevant filed five international lawsuits against Moderna seeking to enforce patents protecting our patented LNP technology. Together, these lawsuits comprise the Moderna LNP Litigation.</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March 3, 2026, we and Genevant entered into the Moderna Settlement Agreement with Moderna to resolve the Moderna LNP Litigation. Pursuant to the Moderna Settlement Agreement, all parties filed stipulated judgments and stipulations of dismissal for the respective courts or tribunals to enter judgment, dismiss with prejudice or withdraw (as the case may be) all claims in the Moderna LNP Litigation, except that Moderna was allowed to file the Moderna §1498 Appeal. The Moderna §1498 Appeal is an appeal of the consent judgment entered in the District Court solely with respect to whether §1498 bars our and Genevant’s claims for direct infringement and indirect infringement against Moderna for vaccine doses that were sold to the United States Government under a particular contract and characterized by the District Court as “vaccines that did not go directly to United States Government employees.”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Moderna Settlement Agreement, Moderna will make an aggregate $950.0 million Noncontingent Settlement Payment to us and Genevant on or before July 8, 2026.</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addition, as described in more detail in, and subject to the terms of, the Moderna Settlement Agreement, Moderna will make an additional Contingent Settlement Payment of an aggregate $1.3 billion to us and Genevant (i) if the Court of Appeals for the Federal Circuit (whether by the initial panel, upon panel rehearing 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affirms, or if there is a final non-appealable judgment that affirms, the rejection of Moderna’s affirmative defense pursuant to §1498 by the District Court in its entirety or otherwise holds that §1498 does not bar our and Genevant’s claim against Moderna as to either or both of direct infringement and indirect infringement with respect to all of the doses subject to the Moderna §1498 Appeal, or (ii) upon a voluntary dismissal of the Moderna §1498 Appeal (any of the foregoing (clause (i) or (ii) above), an Arbutus/Genevant §1498 Victory). If an appellate ruling were to hold that §1498 bars our and Genevant’s infringement claims as to some, but not all, of the doses subject to the Moderna §1498 Appeal, the Moderna Settlement Agreement provides that Moderna will pay us and Genevant a prorated amount of the Contingent Settlement Payment, calculated based on the number of doses for which §1498 bars our and Genevant’s infringement claims as clearly articulated by the Federal Circuit or, if not clearly articulated by the Federal Circuit, as mutually agreed by the parties or determined in an accelerated binding arbitration process.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0" w:name="page31"/>
    <w:bookmarkEnd w:id="30"/>
    <w:p>
      <w:pPr>
        <w:jc w:val="both"/>
        <w:spacing w:after="0" w:line="238" w:lineRule="auto"/>
        <w:rPr>
          <w:sz w:val="20"/>
          <w:szCs w:val="20"/>
          <w:color w:val="auto"/>
        </w:rPr>
      </w:pPr>
      <w:r>
        <w:rPr>
          <w:rFonts w:ascii="Times New Roman" w:cs="Times New Roman" w:eastAsia="Times New Roman" w:hAnsi="Times New Roman"/>
          <w:sz w:val="18"/>
          <w:szCs w:val="18"/>
          <w:color w:val="auto"/>
        </w:rPr>
        <w:t>Under certain circumstances, as described in more detail in, and subject to the terms of, the Moderna Settlement Agreement, if the Arbutus/Genevant §1498 Victory is subsequently overturned in Moderna’s favor in a final nonappealable decision, we and Genevant are required to return any Contingent Settlement Payment to Moderna, plus interest. If, following an Arbutus/Genevant §1498 Victory, either (i) Moderna does not timely appeal such Arbutus/Genevant §1498 Victory or (ii) such Arbutus/Genevant §1498 Victory is subsequently affirmed in a final nonappealable decision, Moderna will have no further right to a potential repayment of the Contingent Settlement Payment.</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Moderna Settlement Agreement includes mutual financial covenants to protect the payment or repayment of the Contingent Settlement Payment, as described above.</w:t>
      </w:r>
    </w:p>
    <w:p>
      <w:pPr>
        <w:spacing w:after="0" w:line="1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Moderna Settlement Agreement also contains customary mutual releases in favor of each of us/Genevant and Moderna in respect of the Moderna LNP Litigation. In addition, the Moderna Settlement Agreement includes a fully paid-up, royalty free, irrevocable, non-exclusive, worldwide license and covenant not to sue granted to Moderna under any patents and patent applications owned or licensable by us or Genevant or our respective direct and indirect wholly owned subsidiaries that exist, or that claim priority to patents or patent applications that exist, as of the effective date of the Moderna Settlement Agreement, to make, sell and generally otherwise exploit Moderna’s SPIKEVAX™, mNEXSPIKE™ and mRESVIA™ vaccines and any other mRNA vaccines that include a lipid SM-102-based LNP formulation against an infectious disease and meet certain conditions, as well as a covenant not to sue with respect to certain other of our and Genevant’s patents and Moderna products.</w:t>
      </w:r>
    </w:p>
    <w:p>
      <w:pPr>
        <w:spacing w:after="0" w:line="21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March 19, 2026, we and Genevant filed a complaint against the United States in the United States Court of Federal Claims, seeking to recover compensation for Moderna’s infringement for vaccine doses that were sold to the United States Government under a particular contract and were deemed by the District Court to be doses that were provided directly to United States Government employees. The complaint also includes a protective request to recover compensation from the United States for any other vaccine doses where, as a result of the Moderna §1498 Appeal, §1498 is deemed to bar our and Genevant’s claims for direct infringement and indirect infringement against Moderna.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Oppositions</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(together with its successors and affiliates, Merck) filed Notices of Opposition to our European patent EP 2279254 (the ’254 Patent) with the European Patent Office (EPO), requesting that the ’254 Patent be revoked in its entirety for all contracting states. From 2018 until 2024, various hearings were held by different divisions of the EPO regarding requests submitted by all parties. Oral proceedings were held in June 2024, and the Opposition Division of the EPO upheld the ’254 Patent but declined our and Genevant’s request to broaden certain claims in the ’254 Patent. Both parties appealed the Opposition Division’s decision, and on January 15, 2026, in a verbal decision, the Board of Appeal of the EPO revoked the ’254 Patent. We are awaiting a written decision from the Board of Appeal of the EPO regarding the revocation. We disagree with the outcome, and upon receipt of the written decision, we plan to file a petition for review by the Enlarged Board of Appeal of the EPO. The revocation was based on an EPO standard of “added matter” that does not apply in the United States. In March 2026, pursuant to the Moderna Settlement Agreement, Moderna withdrew from this revocation proceeding. In May 2026, we entered into an agreement with Merck (the Merck Agreement) where we, among other things, acknowledged that the Moderna Settlement Agreement covered a vaccine being jointly developed by Moderna and Merck and we agreed not to sue Merck regarding such vaccine, in exchange for Merck withdrawing from the revocation proceeding. On May 6, 2026, Merck withdrew from this revocation proceeding. We do not expect the EPO revocation decision to have an impact on the potential outcome, or timing, of our patent infringement litigation pending against Pfizer/BioNTech in the United States.</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April 29, 2025, Moderna filed a revocation action on our European patent EP 4241767 (the ’767 patent) with the EPO, requesting that the patent be revoked in its entirety for all contracting states. In July 2025, Merck, Arrowhouse GmbH and Keltie LLP filed three additional revocation actions against the ’767 patent. Initial briefing has been completed and we are currently awaiting an initial hearing date. In March 2026, pursuant to the Moderna Settlement Agreement, Moderna withdrew from this revocation proceeding. On May 6, 2026, pursuant to the Merck Agreement, Merck withdrew from this revocation proceeding.</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are the patent owner, the ’254 Patent, the ’767 Patent, and the other patents in our LNP portfolio have been licensed to Genevant under the Genevant License.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Additional Payments Related to the Acquisition of Enantigen Therapeutics, Inc.</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2014, Arbutus Inc., our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us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for the treatment of HBV, regardless of whether such product is based upon assets acquired under this stock purchase agreement, and a low single-digit royalty on net sales of such first commercialized HBV product, up to a maximum royalty payment of $1.0 million that, if paid, would be offset against our performance milestone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2" w:name="page33"/>
    <w:bookmarkEnd w:id="32"/>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“Part I, Item 1-Financial Statements (Unaudited)” of this Form 10-Q for a description of recent accounting pronouncements applicable to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6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4"/>
        </w:trPr>
        <w:tc>
          <w:tcPr>
            <w:tcW w:w="7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0"/>
        </w:trPr>
        <w:tc>
          <w:tcPr>
            <w:tcW w:w="7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r>
      <w:tr>
        <w:trPr>
          <w:trHeight w:val="24"/>
        </w:trPr>
        <w:tc>
          <w:tcPr>
            <w:tcW w:w="7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gridSpan w:val="3"/>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6"/>
                <w:szCs w:val="16"/>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179,126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27,463</w:t>
            </w:r>
          </w:p>
        </w:tc>
      </w:tr>
      <w:tr>
        <w:trPr>
          <w:trHeight w:val="21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168,908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(25,699)</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1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169,695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150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1500" w:type="dxa"/>
            <w:vAlign w:val="bottom"/>
          </w:tcPr>
          <w:p>
            <w:pPr>
              <w:spacing w:after="0"/>
              <w:rPr>
                <w:sz w:val="16"/>
                <w:szCs w:val="16"/>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collaborations and licenses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Acuitas Therapeutics, Inc.</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revenue from Genevant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17"/>
        </w:trPr>
        <w:tc>
          <w:tcPr>
            <w:tcW w:w="51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0" w:lineRule="exact"/>
        <w:rPr>
          <w:sz w:val="20"/>
          <w:szCs w:val="20"/>
          <w:color w:val="auto"/>
        </w:rPr>
      </w:pP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Total revenue increased $177.4 million for the three months ended March 31, 2026 compared to the same period in 2025, due primarily to estimated license revenue from Genevant expected in 2026 related to our portion of the Noncontingent Settlement Payment.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150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00" w:type="dxa"/>
            <w:vAlign w:val="bottom"/>
          </w:tcPr>
          <w:p>
            <w:pPr>
              <w:spacing w:after="0"/>
              <w:rPr>
                <w:sz w:val="16"/>
                <w:szCs w:val="16"/>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17"/>
        </w:trPr>
        <w:tc>
          <w:tcPr>
            <w:tcW w:w="5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27,463</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fees paid to clinical research organizations and contract manufacturers, consumables and materials, consulting, and other third-party expenses to support our clinical and preclinical activities, as well as a portion of stock-based compensation and general overhead costs.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$4.8 million for the three months ended March 31, 2026, compared to the same period in 2025. The decrease was due primarily to cost savings from our decisions to reduce our workforce and discontinue in-house scientific research, as well as lower clinical trial costs as studies neared completion.</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$0.1 million for the three months ended March 31, 2026 as compared to the same period in 2025, due primarily to an increase in litigation-related legal fees driven by the settlement with Moderna, partially offset by cost-cutting efforts by the Company, which drove reductions in employee compensation-related expenses.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gets closer to triggering contingent payments based on certain sales milestones of our first commercial product for cHBV. As imdusiran continues to progress through clinical trials, we will adjust our assumptions regarding probability of success commensurate with the progression of the program, which will increase the fair value of the liability.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March 2025, our Board took action to reduce our workforce by 57%. The Board also decided to exit our corporate headquarters in Warminster, Pennsylvania and to discontinue in-house scientific research. In connection with these actions, we incurred a one-time restructuring charge in the first quarter of 2025 of $12.4 million, which includes approximately $6.0 million of cash severance and continued benefits paid, $2.4 million of non-cash expense related to the modification of equity awards, non-cash impairment charges for leasehold improvements and laboratory equipment of $1.9 million and $0.9 million, respectively, $0.9 million related to impairment of the right-of-use asset associated with the lease of our corporate headquarters and a $0.4 million accrual of lease-related operating expenses.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there was less than $0.1 million of accrued restructuring costs for medical benefits and a $0.2 million accrual of lease-related operating expenses included in accounts payable and accrued liabilities.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other income (loss) are summarized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3100" w:type="dxa"/>
            <w:vAlign w:val="bottom"/>
            <w:gridSpan w:val="4"/>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620" w:type="dxa"/>
            <w:vAlign w:val="bottom"/>
          </w:tcPr>
          <w:p>
            <w:pPr>
              <w:spacing w:after="0"/>
              <w:rPr>
                <w:sz w:val="16"/>
                <w:szCs w:val="16"/>
                <w:color w:val="auto"/>
              </w:rPr>
            </w:pPr>
          </w:p>
        </w:tc>
      </w:tr>
      <w:tr>
        <w:trPr>
          <w:trHeight w:val="37"/>
        </w:trPr>
        <w:tc>
          <w:tcPr>
            <w:tcW w:w="75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4"/>
        </w:trPr>
        <w:tc>
          <w:tcPr>
            <w:tcW w:w="7520" w:type="dxa"/>
            <w:vAlign w:val="bottom"/>
          </w:tcPr>
          <w:p>
            <w:pPr>
              <w:spacing w:after="0"/>
              <w:rPr>
                <w:sz w:val="16"/>
                <w:szCs w:val="16"/>
                <w:color w:val="auto"/>
              </w:rPr>
            </w:pPr>
          </w:p>
        </w:tc>
        <w:tc>
          <w:tcPr>
            <w:tcW w:w="12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190"/>
        </w:trPr>
        <w:tc>
          <w:tcPr>
            <w:tcW w:w="7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60" w:type="dxa"/>
            <w:vAlign w:val="bottom"/>
            <w:gridSpan w:val="3"/>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20" w:type="dxa"/>
            <w:vAlign w:val="bottom"/>
          </w:tcPr>
          <w:p>
            <w:pPr>
              <w:spacing w:after="0"/>
              <w:rPr>
                <w:sz w:val="16"/>
                <w:szCs w:val="16"/>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(17)</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1"/>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1240" w:type="dxa"/>
            <w:vAlign w:val="bottom"/>
          </w:tcPr>
          <w:p>
            <w:pPr>
              <w:jc w:val="right"/>
              <w:ind w:right="106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9"/>
                <w:szCs w:val="19"/>
                <w:color w:val="auto"/>
              </w:rPr>
            </w:pPr>
          </w:p>
        </w:tc>
        <w:tc>
          <w:tcPr>
            <w:tcW w:w="120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decrease in interest income for the three months ended March 31, 2026 compared to the same period in 2025 was due primarily to less interest earned on our cash and investment balances due to a lower average balance and a general decrease in market interest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March 31, 2026 and 2025 consisted primarily of non-cash amortization of discount and issuance costs related to the sale of a portion of our ONPATTRO royalty interest to OMERS in July 2019. The decrease is related to the declining balance of the unamortized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16"/>
                <w:szCs w:val="16"/>
                <w:color w:val="auto"/>
              </w:rPr>
            </w:pPr>
          </w:p>
        </w:tc>
      </w:tr>
      <w:tr>
        <w:trPr>
          <w:trHeight w:val="37"/>
        </w:trPr>
        <w:tc>
          <w:tcPr>
            <w:tcW w:w="66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4"/>
        </w:trPr>
        <w:tc>
          <w:tcPr>
            <w:tcW w:w="662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6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6"/>
                <w:szCs w:val="16"/>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shd w:val="clear" w:color="auto" w:fill="CCEEFF"/>
          </w:tcPr>
          <w:p>
            <w:pPr>
              <w:jc w:val="right"/>
              <w:ind w:right="1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(24,526)</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receivable from Genevant</w:t>
            </w:r>
          </w:p>
        </w:tc>
        <w:tc>
          <w:tcPr>
            <w:tcW w:w="1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other operating items</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w:t>
            </w:r>
          </w:p>
        </w:tc>
      </w:tr>
      <w:tr>
        <w:trPr>
          <w:trHeight w:val="21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r>
      <w:tr>
        <w:trPr>
          <w:trHeight w:val="223"/>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w:t>
            </w:r>
          </w:p>
        </w:tc>
      </w:tr>
      <w:tr>
        <w:trPr>
          <w:trHeight w:val="223"/>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36,330</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320" w:type="dxa"/>
            <w:vAlign w:val="bottom"/>
            <w:shd w:val="clear" w:color="auto" w:fill="CCEEFF"/>
          </w:tcPr>
          <w:p>
            <w:pPr>
              <w:jc w:val="right"/>
              <w:ind w:right="1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37,076</w:t>
            </w:r>
          </w:p>
        </w:tc>
      </w:tr>
    </w:tbl>
    <w:p>
      <w:pPr>
        <w:spacing w:after="0" w:line="2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$8.1 million of cash was used in operating activities compared to $13.4 million used in operating activities for the three months ended March 31, 2025, a decrease of $5.3 million. The decrease was due primarily to our decisions to decrease our workforce and further streamline the organization to focus our efforts on advancing the clinical development of imdusiran and AB-101.</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investing activities was $2.2 million, resulting primarily from maturities of investments in marketable securities of $16.0 million, partially offset by additional investments in marketable securities of $13.8 million. For the three months ended March 31, 2025, net cash provided by investing activities was $11.3 million, which resulted primarily from maturities of investments in marketable securities of $46.1 million, partially offset by additional investments in marketable securities of $34.7 million.</w:t>
      </w:r>
    </w:p>
    <w:p>
      <w:pPr>
        <w:spacing w:after="0" w:line="2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For the three months ended March 31, 2026, net cash provided by financing activities was $11.6 million, which was primarily related to $11.5 million in proceeds from the issuance of common shares pursuant to the exercise of stock options. For the three months ended March 31, 2025, net cash provided by financing activities was $2.8 million, which included $2.7 million in proceeds from the issuance of common shares pursuant to the exercise of stock options.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of March 31, 2026, we had cash, cash equivalents and investments in marketable securities of $95.2 million. We had no outstanding debt as of March 31,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Entitlements</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it fails to collect any such future royalties. From the inception of the royalty sale through March 31, 2026, we have recorded an aggregate of $26.7 million of non-cash royalty revenue for royalties earned by OMERS. If this royalty entitlement reverts to us, it has the potential to provide an active royalty stream or to be otherwise monetized again in full or in part. In addition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6" w:name="page37"/>
    <w:bookmarkEnd w:id="36"/>
    <w:p>
      <w:pPr>
        <w:jc w:val="both"/>
        <w:spacing w:after="0" w:line="252" w:lineRule="auto"/>
        <w:rPr>
          <w:sz w:val="20"/>
          <w:szCs w:val="20"/>
          <w:color w:val="auto"/>
        </w:rPr>
      </w:pPr>
      <w:r>
        <w:rPr>
          <w:rFonts w:ascii="Times New Roman" w:cs="Times New Roman" w:eastAsia="Times New Roman" w:hAnsi="Times New Roman"/>
          <w:sz w:val="18"/>
          <w:szCs w:val="18"/>
          <w:color w:val="auto"/>
        </w:rPr>
        <w:t>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 In addition, we are entitled to receive payments upon the achievement of contractual milestones related to Alnylam’s use of our proprietary LNP technology in other product candidates.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exclusive license agreement with Qilu pursuant to which we granted Qilu an exclusive (with certain exceptions), sublicensable, royalty-bearing license, under certain intellectual property owned by us, to develop, manufacture and commercialize imdusiran for the treatment or prevention of cHBV infection in Greater China and Taiwan. In partial consideration for the rights granted by us, Qilu paid us a one-time upfront cash payment of $40 million and made an equity investment of $15.0 million, both received in January 2022, and agreed to pay us up to $245 million, net of withholding taxes, upon the achievement of certain technology transfer, development, regulatory and commercialization milestones. Qilu also agreed to pay us double digit royalties into the low twenties percent based upon annual net sales of imdusiran in Greater China and Taiwan. In June 2025, we and Qilu mutually agreed to conclude our strategic partnership, and we now once again hold global rights for imdusiran.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organizational changes announced during the first quarter of 2025, and our ongoing cost management efforts, we expect to maintain our reduced net cash burn in 2026. In the future, substantial additional funds would be required to continue with the active development of our pipeline products and technologies. In particular, our funding needs may vary depending on a number of factors including:</w:t>
      </w:r>
    </w:p>
    <w:p>
      <w:pPr>
        <w:spacing w:after="0" w:line="258" w:lineRule="exact"/>
        <w:rPr>
          <w:sz w:val="20"/>
          <w:szCs w:val="20"/>
          <w:color w:val="auto"/>
        </w:rPr>
      </w:pPr>
    </w:p>
    <w:p>
      <w:pPr>
        <w:ind w:left="640" w:hanging="241"/>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our ongoing patent infringement matter against Pfizer/BioNTech, the Moderna §1498 Appeal, and our lawsuit against the United States;</w:t>
      </w:r>
    </w:p>
    <w:p>
      <w:pPr>
        <w:spacing w:after="0" w:line="10"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return of capital to our shareholders in connection with proceeds from the Moderna Settlement Agreement;</w:t>
      </w:r>
    </w:p>
    <w:p>
      <w:pPr>
        <w:spacing w:after="0" w:line="55"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potential royalty payments from Alnylam’s</w:t>
      </w:r>
    </w:p>
    <w:p>
      <w:pPr>
        <w:spacing w:after="0" w:line="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ONPATTRO;</w:t>
      </w:r>
    </w:p>
    <w:p>
      <w:pPr>
        <w:spacing w:after="0" w:line="38"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55"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requirement to make milestone payments related to our legacy agreements;</w:t>
      </w:r>
    </w:p>
    <w:p>
      <w:pPr>
        <w:spacing w:after="0" w:line="55"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10"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 candidates due to preclinical and clinical findings;</w:t>
      </w:r>
    </w:p>
    <w:p>
      <w:pPr>
        <w:spacing w:after="0" w:line="55"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product candidates or technology for development;</w:t>
      </w:r>
    </w:p>
    <w:p>
      <w:pPr>
        <w:spacing w:after="0" w:line="55"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10"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product candidates that we manufacture fail to meet specifications resulting in clinical trial delays and investigational and remanufacturing costs;</w:t>
      </w:r>
    </w:p>
    <w:p>
      <w:pPr>
        <w:spacing w:after="0" w:line="10"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 candidates; and</w:t>
      </w:r>
    </w:p>
    <w:p>
      <w:pPr>
        <w:spacing w:after="0" w:line="55"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product candidates and technological and market developments.</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funding to maintain and advance our business from a variety of sources including public or private equity or debt financing, potential monetization transactions, collaborative or licensing arrangements with pharmaceutical companies and government grants and contracts. If we seek additional funding, there can be no assurance that funding will be available at all or on acceptable terms to maintain and advance our business.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we decide to seek funding and such adequate funding is not available, we may be required to delay, reduce or eliminate one or more of our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this item is not required to be provided by smaller reporting companies.</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March 31, 2026, our principal executive officer and principal financial officer concluded that, as of such date, our disclosure controls and procedures were effective at the reasonable assurance level.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2"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April 4, 2023, we and Genevant filed a lawsuit in the United States District Court for the District of New Jersey against Pfizer/BioNTech seeking damages for infringement of United States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in September 2025, the court issued a claim construction ruling, which construed the disputed claim terms in a manner we generally consider to be favorable. The parties are awaiting further scheduling in the litigation.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February 28, 2022, we and Genevant filed a lawsuit in the United States District Court for the District of Delaware against Moderna seeking damages for infringement of United States Patent Nos. 8,058,069, 8,492,359, 8,822,668, 9,364,435, 9,504,651, and 11,141,378 in the manufacture and sale of MRNA-1273, Moderna’s vaccine for COVID-19. On March 3, 2025, we and Genevant filed five international lawsuits against Moderna seeking to enforce patents protecting our patented LNP technology. Together, these lawsuits comprise the Moderna LNP Litigation.</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March 3, 2026, we and Genevant entered into the Moderna Settlement Agreement with Moderna to resolve the Moderna LNP Litigation. Pursuant to the Moderna Settlement Agreement, all parties filed stipulated judgments and stipulations of dismissal for the respective courts or tribunals to enter judgment, dismiss with prejudice or withdraw (as the case may be) all claims in the Moderna LNP Litigation, except that Moderna was allowed to file the Moderna §1498 Appeal. The Moderna §1498 Appeal is an appeal of the consent judgment entered in the District Court solely with respect to whether §1498 bars our and Genevant’s claims for direct infringement and indirect infringement against Moderna for vaccine doses that were sold to the United States Government under a particular contract and characterized by the District Court as “vaccines that did not go directly to United States Government employees.”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Moderna Settlement Agreement, Moderna will make an aggregate $950.0 million Noncontingent Settlement Payment to us and Genevant on or before July 8, 2026.</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addition, as described in more detail in, and subject to the terms of, the Moderna Settlement Agreement, Moderna will make an additional Contingent Settlement Payment of an aggregate $1.3 billion to us and Genevant (i) if the Court of Appeals for the Federal Circuit (whether by the initial panel, upon panel rehearing 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affirms, or if there is a final non-appealable judgment that affirms, the rejection of Moderna’s affirmative defense pursuant to §1498 by the District Court in its entirety or otherwise holds that §1498 does not bar our and Genevant’s claim against Moderna as to either or both of direct infringement and indirect infringement with respect to all of the doses subject to the Moderna §1498 Appeal, or (ii) upon a voluntary dismissal of the Moderna §1498 Appeal (any of the foregoing (clause (i) or (ii) above), an Arbutus/Genevant §1498 Victory). If an appellate ruling were to hold that §1498 bars our and Genevant’s infringement claims as to some, but not all, of the doses subject to the Moderna §1498 Appeal, the Moderna Settlement Agreement provides that Moderna will pay us and Genevant a prorated amount of the Contingent Settlement Payment, calculated based on the number of doses for which §1498 bars our and Genevant’s infringement claims as clearly articulated by the Federal Circuit or, if not clearly articulated by the Federal Circuit, as mutually agreed by the parties or determined in an accelerated binding arbitration process.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Under certain circumstances, as described in more detail in, and subject to the terms of, the Moderna Settlement Agreement, if the Arbutus/Genevant §1498 Victory is subsequently overturned in Moderna’s favor in a final nonappealable decision, we and Genevant are required to return any Contingent Settlement Payment to Moderna, plus interest. If, following an Arbutus/Genevant §1498 Victory, either (i) Moderna does not timely appeal such Arbutus/Genevant §1498 Victory or (ii) such Arbutus/Genevant §1498 Victory is subsequently affirmed in a final nonappealable decision, Moderna will have no further right to a potential repayment of the Contingent Settlement Payment.</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Moderna Settlement Agreement includes mutual financial covenants to protect the payment or repayment of the Contingent Settlement Payment, as described above.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9" w:name="page40"/>
    <w:bookmarkEnd w:id="39"/>
    <w:p>
      <w:pPr>
        <w:jc w:val="both"/>
        <w:spacing w:after="0" w:line="238" w:lineRule="auto"/>
        <w:rPr>
          <w:sz w:val="20"/>
          <w:szCs w:val="20"/>
          <w:color w:val="auto"/>
        </w:rPr>
      </w:pPr>
      <w:r>
        <w:rPr>
          <w:rFonts w:ascii="Times New Roman" w:cs="Times New Roman" w:eastAsia="Times New Roman" w:hAnsi="Times New Roman"/>
          <w:sz w:val="18"/>
          <w:szCs w:val="18"/>
          <w:color w:val="auto"/>
        </w:rPr>
        <w:t>The Moderna Settlement Agreement also contains customary mutual releases in favor of each of us/Genevant and Moderna in respect of the Moderna LNP Litigation. In addition, the Moderna Settlement Agreement includes a fully paid-up, royalty free, irrevocable, non-exclusive, worldwide license and covenant not to sue granted to Moderna under any patents and patent applications owned or licensable by us or Genevant or our respective direct and indirect wholly owned subsidiaries that exist, or that claim priority to patents or patent applications that exist, as of the effective date of the Moderna Settlement Agreement, to make, sell and generally otherwise exploit Moderna’s SPIKEVAX™, mNEXSPIKE™ and mRESVIA™ vaccines and any other mRNA vaccines that include a lipid SM-102-based LNP formulation against an infectious disease and meet certain conditions, as well as a covenant not to sue with respect to certain other of our and Genevant’s patents and Moderna products.</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19, 2026, we and Genevant filed a complaint against the United States in the United States Court of Federal Claims, seeking to recover compensation for Moderna’s infringement for vaccine doses that were sold to the United States Government under a particular contract and were deemed by the District Court to be doses that were provided directly to United States Government employees. The complaint also includes a protective request to recover compensation from the United States for any other vaccine doses where, as a result of the Moderna §1498 Appeal, §1498 is deemed to bar our and Genevant’s claims for direct infringement and indirect infringement against Moderna.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Oppositions</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(together with its successors and affiliates, Merck) filed Notices of Opposition to our European patent EP 2279254 (the ’254 Patent) with the European Patent Office (EPO), requesting that the ’254 Patent be revoked in its entirety for all contracting states. From 2018 until 2024, various hearings were held by different divisions of the EPO regarding requests submitted by all parties. Oral proceedings were held in June 2024, and the Opposition Division of the EPO upheld the ’254 Patent but declined our and Genevant’s request to broaden certain claims in the ’254 Patent. Both parties appealed the Opposition Division’s decision, and on January 15, 2026, in a verbal decision, the Board of Appeal of the EPO revoked the ’254 Patent. We are awaiting a written decision from the Board of Appeal of the EPO regarding the revocation. We disagree with the outcome, and upon receipt of the written decision, we plan to file a petition for review by the Enlarged Board of Appeal of the EPO. The revocation was based on an EPO standard of “added matter” that does not apply in the United States. In March 2026, pursuant to the Moderna Settlement Agreement, Moderna withdrew from this revocation proceeding. In May 2026, we entered into an agreement with Merck (the Merck Agreement) where we, among other things, acknowledged that the Moderna Settlement Agreement covered a vaccine being jointly developed by Moderna and Merck and we agreed not to sue Merck regarding such vaccine, in exchange for Merck withdrawing from the revocation proceeding. On May 6, 2026, Merck withdrew from this revocation proceeding. We do not expect the EPO revocation decision to have an impact on the potential outcome, or timing, of our patent infringement litigation pending against Pfizer/BioNTech in the United States.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April 29, 2025, Moderna filed a revocation action on our European patent EP 4241767 (the ’767 patent) with the EPO, requesting that the patent be revoked in its entirety for all contracting states. In July 2025, Merck, Arrowhouse GmbH and Keltie LLP filed three additional revocation actions against the ’767 patent. Initial briefing has been completed and we are currently awaiting an initial hearing date. In March 2026, pursuant to the Moderna Settlement Agreement, Moderna withdrew from this revocation proceeding. On May 6, 2026, pursuant to the Merck Agreement, Merck withdrew from this revocation proceeding.</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are the patent owner, the ’254 Patent, the ’767 Patent, and the other patents in our LNP portfolio have been licensed to Genevant under the Genevant License.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8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our risk factors from those disclosed in our Annual Report on Form 10-K for the fiscal year ended December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0" w:name="page41"/>
    <w:bookmarkEnd w:id="40"/>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24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adopted, modified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16"/>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80" w:type="dxa"/>
            <w:vAlign w:val="bottom"/>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11"/>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20" w:type="dxa"/>
            <w:vAlign w:val="bottom"/>
            <w:gridSpan w:val="14"/>
          </w:tcPr>
          <w:p>
            <w:pPr>
              <w:spacing w:after="0" w:line="177"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Notice of Articles and Articles of the Company, as amended (incorporated herein by reference to Exhibit 3.1 to the Registrant’s Annual Report</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57">
              <w:r>
                <w:rPr>
                  <w:rFonts w:ascii="Times New Roman" w:cs="Times New Roman" w:eastAsia="Times New Roman" w:hAnsi="Times New Roman"/>
                  <w:sz w:val="18"/>
                  <w:szCs w:val="18"/>
                  <w:color w:val="0000FF"/>
                  <w:w w:val="96"/>
                </w:rPr>
                <w:t>on Form 10-K for the year ended December 31, 2017, filed with the SEC on March 16, 2018).</w:t>
              </w:r>
            </w:hyperlink>
          </w:p>
        </w:tc>
        <w:tc>
          <w:tcPr>
            <w:tcW w:w="36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14"/>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Amendment to Articles of the Company (incorporated herein by reference to Exhibit 3.1 to the Registrant’s Quarterly Report on Form 10-Q for</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tcBorders>
              <w:top w:val="single" w:sz="8" w:color="0000FF"/>
            </w:tcBorders>
            <w:gridSpan w:val="9"/>
          </w:tcPr>
          <w:p>
            <w:pPr>
              <w:spacing w:after="0" w:line="164"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the quarter ended September 30, 2018, filed with the SEC on November 7,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14"/>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Settlement Agreement, dated March 3, 2026, by and among Arbutus Biopharma Corporation, Genevant Sciences GmbH, Genevant Sciences</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80" w:type="dxa"/>
            <w:vAlign w:val="bottom"/>
            <w:tcBorders>
              <w:top w:val="single" w:sz="8" w:color="0000FF"/>
              <w:bottom w:val="single" w:sz="8" w:color="0000FF"/>
            </w:tcBorders>
            <w:gridSpan w:val="12"/>
          </w:tcPr>
          <w:p>
            <w:pPr>
              <w:spacing w:after="0" w:line="164" w:lineRule="exact"/>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Ltd., Moderna, Inc. and ModernaTX, Inc. (incorporated herein by reference to Exhibit 10.23 to the Registrant’s Annual Report on Form 10-K for</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gridSpan w:val="13"/>
          </w:tcPr>
          <w:p>
            <w:pPr>
              <w:spacing w:after="0" w:line="151"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the year ended December 31, 2025, filed with the SEC on March 23, 2026).</w:t>
              </w:r>
            </w:hyperlink>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top w:val="single" w:sz="8" w:color="0000FF"/>
            </w:tcBorders>
            <w:gridSpan w:val="8"/>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top w:val="single" w:sz="8" w:color="0000FF"/>
            </w:tcBorders>
            <w:gridSpan w:val="10"/>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 Act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8"/>
                <w:szCs w:val="18"/>
                <w:color w:val="0000FF"/>
                <w:w w:val="93"/>
              </w:rPr>
              <w:t>of 2002.</w:t>
            </w:r>
          </w:p>
        </w:tc>
        <w:tc>
          <w:tcPr>
            <w:tcW w:w="9600" w:type="dxa"/>
            <w:vAlign w:val="bottom"/>
            <w:tcBorders>
              <w:top w:val="single" w:sz="8" w:color="0000FF"/>
            </w:tcBorders>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18 U.S.C. Section 1350, as adopted pursuant to Section 906 of the Sarbanes-Oxley Act of</w:t>
            </w:r>
          </w:p>
        </w:tc>
      </w:tr>
      <w:tr>
        <w:trPr>
          <w:trHeight w:val="164"/>
        </w:trPr>
        <w:tc>
          <w:tcPr>
            <w:tcW w:w="9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80" w:type="dxa"/>
            <w:vAlign w:val="bottom"/>
            <w:tcBorders>
              <w:top w:val="single" w:sz="8" w:color="0000FF"/>
              <w:bottom w:val="single" w:sz="8" w:color="0000FF"/>
            </w:tcBorders>
          </w:tcPr>
          <w:p>
            <w:pPr>
              <w:spacing w:after="0" w:line="164" w:lineRule="exact"/>
              <w:rPr>
                <w:sz w:val="20"/>
                <w:szCs w:val="20"/>
                <w:color w:val="auto"/>
              </w:rPr>
            </w:pPr>
            <w:r>
              <w:rPr>
                <w:rFonts w:ascii="Times New Roman" w:cs="Times New Roman" w:eastAsia="Times New Roman" w:hAnsi="Times New Roman"/>
                <w:sz w:val="18"/>
                <w:szCs w:val="18"/>
                <w:color w:val="0000FF"/>
                <w:w w:val="88"/>
              </w:rPr>
              <w:t>2002.</w:t>
            </w:r>
          </w:p>
        </w:tc>
        <w:tc>
          <w:tcPr>
            <w:tcW w:w="200" w:type="dxa"/>
            <w:vAlign w:val="bottom"/>
            <w:tcBorders>
              <w:top w:val="single" w:sz="8" w:color="0000FF"/>
            </w:tcBorders>
          </w:tcPr>
          <w:p>
            <w:pPr>
              <w:spacing w:after="0"/>
              <w:rPr>
                <w:sz w:val="14"/>
                <w:szCs w:val="14"/>
                <w:color w:val="auto"/>
              </w:rPr>
            </w:pPr>
          </w:p>
        </w:tc>
        <w:tc>
          <w:tcPr>
            <w:tcW w:w="296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3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74" w:lineRule="exact"/>
        <w:rPr>
          <w:sz w:val="20"/>
          <w:szCs w:val="20"/>
          <w:color w:val="auto"/>
        </w:rPr>
      </w:pPr>
    </w:p>
    <w:p>
      <w:pPr>
        <w:jc w:val="both"/>
        <w:ind w:left="1040" w:right="20" w:hanging="713"/>
        <w:spacing w:after="0" w:line="217"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Arbutus Biopharma Corporation’s Quarterly Report on Form 10-Q for the quarter ended March 31, 2026, formatted in inline XBRL (eXtensible Business Reporting Language): (i) Condensed Consolidated Balance Sheets; (ii) Condensed Consolidated Statements of Operations; (iii) Condensed Consolidated Statements of Comprehensive Income (Loss); (iv) Condensed Consolidated Statements of Stockholders’ Equity; (v) Condensed Consolidated Statements of Cash Flows; and (vi) Notes to Condensed Consolidated Financial Statements.</w:t>
      </w:r>
    </w:p>
    <w:p>
      <w:pPr>
        <w:spacing w:after="0" w:line="50" w:lineRule="exact"/>
        <w:rPr>
          <w:sz w:val="20"/>
          <w:szCs w:val="20"/>
          <w:color w:val="auto"/>
        </w:rPr>
      </w:pPr>
    </w:p>
    <w:p>
      <w:pPr>
        <w:ind w:right="2660" w:firstLine="327"/>
        <w:spacing w:after="0" w:line="579" w:lineRule="auto"/>
        <w:tabs>
          <w:tab w:leader="none" w:pos="10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 * Filed herewith.</w:t>
      </w:r>
    </w:p>
    <w:p>
      <w:pPr>
        <w:ind w:left="360" w:hanging="355"/>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5" w:lineRule="exact"/>
        <w:rPr>
          <w:sz w:val="20"/>
          <w:szCs w:val="20"/>
          <w:color w:val="auto"/>
        </w:rPr>
      </w:pPr>
    </w:p>
    <w:p>
      <w:pPr>
        <w:ind w:left="640" w:hanging="635"/>
        <w:spacing w:after="0" w:line="256" w:lineRule="auto"/>
        <w:tabs>
          <w:tab w:leader="none" w:pos="4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the agreement were omitted by means of marking such portions with brackets (due to the registrant customarily and actually treating such information as private or confidential and such omitted information not being material) pursuant to Item 601 of Regulation S-K promulgated by the SEC. Arbutus agrees to supplementally furnish a copy of any confidential portions to the SEC upon request.</w:t>
      </w:r>
    </w:p>
    <w:p>
      <w:pPr>
        <w:spacing w:after="0" w:line="113" w:lineRule="exact"/>
        <w:rPr>
          <w:sz w:val="20"/>
          <w:szCs w:val="20"/>
          <w:color w:val="auto"/>
        </w:rPr>
      </w:pPr>
    </w:p>
    <w:p>
      <w:pPr>
        <w:ind w:left="640" w:hanging="635"/>
        <w:spacing w:after="0" w:line="268" w:lineRule="auto"/>
        <w:tabs>
          <w:tab w:leader="none" w:pos="3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or schedules to this agreement have been omitted in accordance with Item 601(a)(5) of Regulation S-K. A copy of any omitted exhibits or schedules will be furnished supplementally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42" w:name="page43"/>
    <w:bookmarkEnd w:id="42"/>
    <w:p>
      <w:pPr>
        <w:spacing w:after="0" w:line="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0" w:lineRule="exact"/>
        <w:rPr>
          <w:sz w:val="20"/>
          <w:szCs w:val="20"/>
          <w:color w:val="auto"/>
        </w:rPr>
      </w:pPr>
    </w:p>
    <w:p>
      <w:pPr>
        <w:ind w:right="100" w:firstLine="637"/>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13, 2026.</w:t>
      </w:r>
    </w:p>
    <w:p>
      <w:pPr>
        <w:spacing w:after="0" w:line="200" w:lineRule="exact"/>
        <w:rPr>
          <w:sz w:val="20"/>
          <w:szCs w:val="20"/>
          <w:color w:val="auto"/>
        </w:rPr>
      </w:pPr>
    </w:p>
    <w:p>
      <w:pPr>
        <w:spacing w:after="0" w:line="3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71" w:lineRule="exact"/>
        <w:rPr>
          <w:sz w:val="20"/>
          <w:szCs w:val="20"/>
          <w:color w:val="auto"/>
        </w:rPr>
      </w:pPr>
    </w:p>
    <w:tbl>
      <w:tblPr>
        <w:tblLayout w:type="fixed"/>
        <w:tblInd w:w="5540" w:type="dxa"/>
        <w:tblCellMar>
          <w:top w:w="0" w:type="dxa"/>
          <w:left w:w="0" w:type="dxa"/>
          <w:bottom w:w="0" w:type="dxa"/>
          <w:right w:w="0" w:type="dxa"/>
        </w:tblCellMar>
      </w:tblPr>
      <w:tr>
        <w:trPr>
          <w:trHeight w:val="228"/>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Lindsay Androski</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Lindsay Androski</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23"/>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Tuan Nguyen</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Tuan Nguyen</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r>
        <w:trPr>
          <w:trHeight w:val="539"/>
        </w:trPr>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41</w:t>
            </w:r>
          </w:p>
        </w:tc>
        <w:tc>
          <w:tcPr>
            <w:tcW w:w="4940" w:type="dxa"/>
            <w:vAlign w:val="bottom"/>
          </w:tcPr>
          <w:p>
            <w:pPr>
              <w:spacing w:after="0"/>
              <w:rPr>
                <w:sz w:val="24"/>
                <w:szCs w:val="24"/>
                <w:color w:val="auto"/>
              </w:rPr>
            </w:pPr>
          </w:p>
        </w:tc>
      </w:tr>
    </w:tbl>
    <w:p>
      <w:pPr>
        <w:sectPr>
          <w:pgSz w:w="11900" w:h="16838" w:orient="portrait"/>
          <w:cols w:equalWidth="0" w:num="1">
            <w:col w:w="11340"/>
          </w:cols>
          <w:pgMar w:left="320" w:top="1440"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Lindsay Androski, certify that:</w:t>
      </w:r>
    </w:p>
    <w:p>
      <w:pPr>
        <w:spacing w:after="0" w:line="95" w:lineRule="exact"/>
        <w:rPr>
          <w:sz w:val="20"/>
          <w:szCs w:val="20"/>
          <w:color w:val="auto"/>
        </w:rPr>
      </w:pPr>
    </w:p>
    <w:p>
      <w:pPr>
        <w:ind w:left="1180" w:hanging="386"/>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Lindsay Androski</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96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Tuan Nguyen, certify that:</w:t>
      </w:r>
    </w:p>
    <w:p>
      <w:pPr>
        <w:spacing w:after="0" w:line="95" w:lineRule="exact"/>
        <w:rPr>
          <w:sz w:val="20"/>
          <w:szCs w:val="20"/>
          <w:color w:val="auto"/>
        </w:rPr>
      </w:pPr>
    </w:p>
    <w:p>
      <w:pPr>
        <w:ind w:left="1180" w:hanging="386"/>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Tuan Nguyen</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96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connection with the Quarterly Report on Form 10-Q of Arbutus Biopharma Corporation (the “Company”) for the quarter ended March 31, 2026, as filed with the Securities and Exchange Commission on the date hereof (the “Report”), I, Lindsay Androski, President and Chief Executive Officer of the Company, certify, pursuant to 18 U.S.C. Section 1350, as adopted pursuant to Section 906 of the Sarbanes-Oxley Act of 2002, that to the best of my knowledge:</w:t>
      </w:r>
    </w:p>
    <w:p>
      <w:pPr>
        <w:spacing w:after="0" w:line="197" w:lineRule="exact"/>
        <w:rPr>
          <w:sz w:val="20"/>
          <w:szCs w:val="20"/>
          <w:color w:val="auto"/>
        </w:rPr>
      </w:pPr>
    </w:p>
    <w:p>
      <w:pPr>
        <w:ind w:left="1580" w:hanging="392"/>
        <w:spacing w:after="0"/>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Lindsay Androski</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96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March 31, 2026, as filed with the Securities and Exchange Commission on the date hereof (the “Report”), I, Tuan Nguyen, Chief Financial Officer of the Company, certify, pursuant to 18 U.S.C. Section 1350, as adopted pursuant to Section 906 of the Sarbanes-Oxley Act of 2002, that to the best of my knowledge:</w:t>
      </w:r>
    </w:p>
    <w:p>
      <w:pPr>
        <w:spacing w:after="0" w:line="231" w:lineRule="exact"/>
        <w:rPr>
          <w:sz w:val="20"/>
          <w:szCs w:val="20"/>
          <w:color w:val="auto"/>
        </w:rPr>
      </w:pPr>
    </w:p>
    <w:p>
      <w:pPr>
        <w:ind w:left="1580" w:hanging="392"/>
        <w:spacing w:after="0"/>
        <w:tabs>
          <w:tab w:leader="none" w:pos="1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Tuan Nguyen</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9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endash "/>
      <w:numFmt w:val="bullet"/>
      <w:start w:val="1"/>
    </w:lvl>
  </w:abstractNum>
  <w:abstractNum w:abstractNumId="12">
    <w:nsid w:val="3F2DBA31"/>
    <w:multiLevelType w:val="hybridMultilevel"/>
    <w:lvl w:ilvl="0">
      <w:lvlJc w:val="left"/>
      <w:lvlText w:val="\endash "/>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01"/>
    </w:lvl>
  </w:abstractNum>
  <w:abstractNum w:abstractNumId="16">
    <w:nsid w:val="436C6125"/>
    <w:multiLevelType w:val="hybridMultilevel"/>
    <w:lvl w:ilvl="0">
      <w:lvlJc w:val="left"/>
      <w:lvlText w:val="*"/>
      <w:numFmt w:val="bullet"/>
      <w:start w:val="1"/>
    </w:lvl>
    <w:lvl w:ilvl="1">
      <w:lvlJc w:val="left"/>
      <w:lvlText w:val="%2"/>
      <w:numFmt w:val="decimal"/>
      <w:start w:val="104"/>
    </w:lvl>
  </w:abstractNum>
  <w:abstractNum w:abstractNumId="17">
    <w:nsid w:val="628C895D"/>
    <w:multiLevelType w:val="hybridMultilevel"/>
    <w:lvl w:ilvl="0">
      <w:lvlJc w:val="left"/>
      <w:lvlText w:val="**"/>
      <w:numFmt w:val="bullet"/>
      <w:start w:val="1"/>
    </w:lvl>
    <w:lvl w:ilvl="1">
      <w:lvlJc w:val="left"/>
      <w:lvlText w:val="%2"/>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57" Type="http://schemas.openxmlformats.org/officeDocument/2006/relationships/hyperlink" Target="https://www.sec.gov/Archives/edgar/data/1447028/000162828018003276/exhibit31_articlesandartic.htm" TargetMode="External"/><Relationship Id="rId58" Type="http://schemas.openxmlformats.org/officeDocument/2006/relationships/hyperlink" Target="https://www.sec.gov/Archives/edgar/data/1447028/000162828018013909/exhibit31amendmenttoarticl.htm" TargetMode="External"/><Relationship Id="rId59" Type="http://schemas.openxmlformats.org/officeDocument/2006/relationships/hyperlink" Target="https://www.sec.gov/Archives/edgar/data/1447028/000144702826000017/redactedsettlement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2026-05-13T06:35:12Z</dcterms:created>
  <dcterms:modified xsi:type="dcterms:W3CDTF">2026-05-13T06:35:12Z</dcterms:modified>
</cp:coreProperties>
</file>