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13,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Arbutus Biopharma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British Columbia, Canada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001-34949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98-0597776</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701 Veterans Circle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Warminster, Pennsylvania 18974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(267) 469-0914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Common Shares, without par value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ABUS</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13, 2026, Arbutus Biopharma Corporation issued a press release announcing its financial results for the first quarter ended March 31, 2026 and certain other information. A copy of the press release is furnished herewith as Exhibit 99.1 hereto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240" w:type="dxa"/>
            <w:vAlign w:val="bottom"/>
          </w:tcPr>
          <w:p>
            <w:pPr>
              <w:spacing w:after="0"/>
              <w:rPr>
                <w:sz w:val="20"/>
                <w:szCs w:val="20"/>
                <w:color w:val="auto"/>
              </w:rPr>
            </w:pPr>
          </w:p>
        </w:tc>
      </w:tr>
      <w:tr>
        <w:trPr>
          <w:trHeight w:val="391"/>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May 13, 2026</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4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580" w:type="dxa"/>
            <w:vAlign w:val="bottom"/>
            <w:shd w:val="clear" w:color="auto" w:fill="000000"/>
          </w:tcPr>
          <w:p>
            <w:pPr>
              <w:spacing w:after="0"/>
              <w:rPr>
                <w:sz w:val="5"/>
                <w:szCs w:val="5"/>
                <w:color w:val="auto"/>
              </w:rPr>
            </w:pPr>
          </w:p>
        </w:tc>
        <w:tc>
          <w:tcPr>
            <w:tcW w:w="72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4560" w:type="dxa"/>
            <w:vAlign w:val="bottom"/>
            <w:gridSpan w:val="3"/>
          </w:tcPr>
          <w:p>
            <w:pPr>
              <w:ind w:left="2000"/>
              <w:spacing w:after="0"/>
              <w:rPr>
                <w:sz w:val="20"/>
                <w:szCs w:val="20"/>
                <w:color w:val="auto"/>
              </w:rPr>
            </w:pPr>
            <w:r>
              <w:rPr>
                <w:rFonts w:ascii="Times New Roman" w:cs="Times New Roman" w:eastAsia="Times New Roman" w:hAnsi="Times New Roman"/>
                <w:sz w:val="18"/>
                <w:szCs w:val="18"/>
                <w:b w:val="1"/>
                <w:bCs w:val="1"/>
                <w:color w:val="auto"/>
                <w:w w:val="99"/>
              </w:rPr>
              <w:t>Arbutus Biopharma Corporation</w:t>
            </w:r>
          </w:p>
        </w:tc>
      </w:tr>
      <w:tr>
        <w:trPr>
          <w:trHeight w:val="68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456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By: /s/ Tuan Nguyen</w:t>
            </w:r>
          </w:p>
        </w:tc>
      </w:tr>
      <w:tr>
        <w:trPr>
          <w:trHeight w:val="237"/>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Tuan Nguyen</w:t>
            </w:r>
          </w:p>
        </w:tc>
        <w:tc>
          <w:tcPr>
            <w:tcW w:w="700" w:type="dxa"/>
            <w:vAlign w:val="bottom"/>
          </w:tcPr>
          <w:p>
            <w:pPr>
              <w:spacing w:after="0"/>
              <w:rPr>
                <w:sz w:val="20"/>
                <w:szCs w:val="20"/>
                <w:color w:val="auto"/>
              </w:rPr>
            </w:pPr>
          </w:p>
        </w:tc>
      </w:tr>
      <w:tr>
        <w:trPr>
          <w:trHeight w:val="243"/>
        </w:trPr>
        <w:tc>
          <w:tcPr>
            <w:tcW w:w="34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00"/>
          </w:cols>
          <w:pgMar w:left="320" w:top="536" w:right="379" w:bottom="1440" w:gutter="0" w:footer="0" w:header="0"/>
        </w:sectPr>
      </w:pPr>
    </w:p>
    <w:bookmarkStart w:id="3" w:name="page4"/>
    <w:bookmarkEnd w:id="3"/>
    <w:p>
      <w:pPr>
        <w:spacing w:after="0" w:line="198"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Arbutus Reports First Quarter 2026 Financial Results and Provides Corporate Update</w:t>
      </w:r>
    </w:p>
    <w:p>
      <w:pPr>
        <w:spacing w:after="0" w:line="223" w:lineRule="exact"/>
        <w:rPr>
          <w:sz w:val="20"/>
          <w:szCs w:val="20"/>
          <w:color w:val="auto"/>
        </w:rPr>
      </w:pPr>
    </w:p>
    <w:p>
      <w:pPr>
        <w:jc w:val="center"/>
        <w:ind w:left="340" w:right="340"/>
        <w:spacing w:after="0" w:line="262" w:lineRule="auto"/>
        <w:rPr>
          <w:sz w:val="20"/>
          <w:szCs w:val="20"/>
          <w:color w:val="auto"/>
        </w:rPr>
      </w:pPr>
      <w:r>
        <w:rPr>
          <w:rFonts w:ascii="Times New Roman" w:cs="Times New Roman" w:eastAsia="Times New Roman" w:hAnsi="Times New Roman"/>
          <w:sz w:val="22"/>
          <w:szCs w:val="22"/>
          <w:b w:val="1"/>
          <w:bCs w:val="1"/>
          <w:color w:val="auto"/>
        </w:rPr>
        <w:t>Q1 total revenue of $179.1M includes estimated license revenue from Genevant related to litigation settlement with Moderna</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Strong financial position with cash, cash equivalents and marketable securities of $95.2M as of March 31, 2026</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color w:val="auto"/>
        </w:rPr>
        <w:t>FDA granted Fast Track designation to imdusiran, which has the potential to facilitate development and accelerate FDA</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review</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WARMINSTER, Pa., May 13, 2026 (GLOBE NEWSWIRE) -- Arbutus Biopharma Corporation (Nasdaq: ABUS) (“Arbutus” or the “Company”), a clinical-stage biopharmaceutical company focused on infectious disease, today reported first quarter 2026 financial results and provided a corporate update.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LNP Litigation</w:t>
      </w:r>
    </w:p>
    <w:p>
      <w:pPr>
        <w:spacing w:after="0" w:line="210" w:lineRule="exact"/>
        <w:rPr>
          <w:sz w:val="20"/>
          <w:szCs w:val="20"/>
          <w:color w:val="auto"/>
        </w:rPr>
      </w:pPr>
    </w:p>
    <w:p>
      <w:pPr>
        <w:jc w:val="both"/>
        <w:ind w:left="540"/>
        <w:spacing w:after="0" w:line="233" w:lineRule="auto"/>
        <w:rPr>
          <w:sz w:val="20"/>
          <w:szCs w:val="20"/>
          <w:color w:val="auto"/>
        </w:rPr>
      </w:pPr>
      <w:r>
        <w:rPr>
          <w:rFonts w:ascii="Times New Roman" w:cs="Times New Roman" w:eastAsia="Times New Roman" w:hAnsi="Times New Roman"/>
          <w:sz w:val="22"/>
          <w:szCs w:val="22"/>
          <w:color w:val="auto"/>
        </w:rPr>
        <w:t>On March 3, 2026, Arbutus, along with its exclusive licensee, Genevant Sciences (“Genevant”), entered into a settlement agreement to resolve all global patent infringement litigation and patent revocation proceedings involving Moderna. As part of the settlement, Moderna will pay Arbutus and Genevant $950 million upfront in July 2026 (the “Noncontingent Settlement Payment”) and an additional $1.3 billion contingent upon an appellate ruling that 28 U.S.C. §1498 does not bar Arbutus’ and Genevant’s claims against Moderna for patent infringement, except as to doses characterized by the district court as having gone to U.S. government employees. Under the Company’s license with Genevant, the Company expects to receive in July 2026 an estimated $178.7 million of the Noncontingent Settlement Payment, which includes reimbursement of the Company’s litigation costs. In addition, the Company owns approximately 16% of the outstanding common equity of Genevant. For more information about the terms and conditions of the settlement with Moderna, including the contingent payment, please refer to Arbutus’ Quarterly Report on Form 10-Q to be filed with the SEC on May 13, 2026 and Annual Report on Form 10-K filed with the SEC on March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-1650365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Corporate Updates</w:t>
      </w:r>
    </w:p>
    <w:p>
      <w:pPr>
        <w:spacing w:after="0" w:line="210" w:lineRule="exact"/>
        <w:rPr>
          <w:sz w:val="20"/>
          <w:szCs w:val="20"/>
          <w:color w:val="auto"/>
        </w:rPr>
      </w:pPr>
    </w:p>
    <w:p>
      <w:pPr>
        <w:jc w:val="both"/>
        <w:ind w:left="540"/>
        <w:spacing w:after="0" w:line="235" w:lineRule="auto"/>
        <w:rPr>
          <w:sz w:val="20"/>
          <w:szCs w:val="20"/>
          <w:color w:val="auto"/>
        </w:rPr>
      </w:pPr>
      <w:r>
        <w:rPr>
          <w:rFonts w:ascii="Times New Roman" w:cs="Times New Roman" w:eastAsia="Times New Roman" w:hAnsi="Times New Roman"/>
          <w:sz w:val="22"/>
          <w:szCs w:val="22"/>
          <w:color w:val="auto"/>
        </w:rPr>
        <w:t>In April 2026, the U.S. Food and Drug Administration (“FDA”) granted Fast Track designation for imdusiran for the treatment of chronic hepatitis B. The FDA’s Fast Track program is designed to facilitate the development and expedite the review of investigational therapies to treat serious conditions with unmet medical need. A drug granted Fast Track designation may be eligible for several benefits, including earlier and more frequent meetings and communications with the FDA and the potential for rolling review of its application. If relevant criteria are met, investigational therapies that receive Fast Track designation may also qualify for Accelerated Approval or Priority Review of a Biologics License Application or New Drug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-1035685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Cash Equivalents and Investments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of March 31, 2026, the Company had cash, cash equivalents and investments in marketable securities of $95.2 million compared to $91.5 million as of December 31, 2025. During the three months ended March 31, 2026, the Company used $8.1 million in operating activities, which included one-time payments related to its restructuring efforts, and received $11.5 million of proceeds from the exercise of stock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Revenue</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Total revenue was $179.1 million for the quarter ended March 31, 2026, compared to $1.8 million for the same period in 2025. The increase of $177.4 million was due to license revenue from Genevant related to the Company’s portion of the Noncontingent Settlement Payment.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Operating Expenses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Research and development expenses were $4.1 million for the quarter ended March 31, 2026, compared to $9.0 million for the same period in 2025. The decrease of $4.8 million was due primarily to cost savings from the Company’s decisions to reduce its workforce and discontinue in-house scientific research, as well as lower clinical trial costs as studies neared completion.</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General and administrative expenses were $5.9 million for the quarter ended March 31, 2026, compared to $5.8 million for the same period in 2025. This increase was due primarily to higher legal fees driven by the settlement with Moderna, partially offset by cost-cutting efforts by the Company, which drove reductions in employee compensation-related expenses.</w:t>
      </w:r>
    </w:p>
    <w:p>
      <w:pPr>
        <w:spacing w:after="0" w:line="173" w:lineRule="exact"/>
        <w:rPr>
          <w:sz w:val="20"/>
          <w:szCs w:val="20"/>
          <w:color w:val="auto"/>
        </w:rPr>
      </w:pPr>
    </w:p>
    <w:p>
      <w:pPr>
        <w:ind w:right="240"/>
        <w:spacing w:after="0" w:line="415" w:lineRule="auto"/>
        <w:rPr>
          <w:sz w:val="20"/>
          <w:szCs w:val="20"/>
          <w:color w:val="auto"/>
        </w:rPr>
      </w:pPr>
      <w:r>
        <w:rPr>
          <w:rFonts w:ascii="Times New Roman" w:cs="Times New Roman" w:eastAsia="Times New Roman" w:hAnsi="Times New Roman"/>
          <w:sz w:val="22"/>
          <w:szCs w:val="22"/>
          <w:color w:val="auto"/>
        </w:rPr>
        <w:t xml:space="preserve">There were no restructuring costs in the quarter ended March 31, 2026, compared to $12.4 million for the same period in 2025. </w:t>
      </w:r>
      <w:r>
        <w:rPr>
          <w:rFonts w:ascii="Times New Roman" w:cs="Times New Roman" w:eastAsia="Times New Roman" w:hAnsi="Times New Roman"/>
          <w:sz w:val="22"/>
          <w:szCs w:val="22"/>
          <w:b w:val="1"/>
          <w:bCs w:val="1"/>
          <w:color w:val="auto"/>
        </w:rPr>
        <w:t>Net Income/Loss</w:t>
      </w:r>
    </w:p>
    <w:p>
      <w:pPr>
        <w:sectPr>
          <w:pgSz w:w="11900" w:h="17036" w:orient="portrait"/>
          <w:cols w:equalWidth="0" w:num="1">
            <w:col w:w="11240"/>
          </w:cols>
          <w:pgMar w:left="320" w:top="108" w:right="339" w:bottom="0" w:gutter="0" w:footer="0" w:header="0"/>
        </w:sectPr>
      </w:pPr>
    </w:p>
    <w:bookmarkStart w:id="4" w:name="page5"/>
    <w:bookmarkEnd w:id="4"/>
    <w:p>
      <w:pPr>
        <w:jc w:val="both"/>
        <w:spacing w:after="0" w:line="244" w:lineRule="auto"/>
        <w:rPr>
          <w:sz w:val="20"/>
          <w:szCs w:val="20"/>
          <w:color w:val="auto"/>
        </w:rPr>
      </w:pPr>
      <w:r>
        <w:rPr>
          <w:rFonts w:ascii="Times New Roman" w:cs="Times New Roman" w:eastAsia="Times New Roman" w:hAnsi="Times New Roman"/>
          <w:sz w:val="22"/>
          <w:szCs w:val="22"/>
          <w:color w:val="auto"/>
        </w:rPr>
        <w:t>For the quarter ended March 31, 2026, the Company’s net income was $169.7 million, or income of $0.88 per basic and $0.87 per diluted common share, as compared to a net loss of $24.5 million, or a loss of $0.13 per basic and diluted common share, for the quarter ended March 31,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Outstanding Shares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March 31, 2026, the Company had 196.9 million common shares issued and outstanding, as well as 9.7 million stock options and unvested restricted stock units outstanding.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INCOME AND LOSS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share and per share data)</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7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w w:val="99"/>
              </w:rPr>
              <w:t>Three Months Ended March 31,</w:t>
            </w:r>
          </w:p>
        </w:tc>
        <w:tc>
          <w:tcPr>
            <w:tcW w:w="0" w:type="dxa"/>
            <w:vAlign w:val="bottom"/>
          </w:tcPr>
          <w:p>
            <w:pPr>
              <w:spacing w:after="0"/>
              <w:rPr>
                <w:sz w:val="1"/>
                <w:szCs w:val="1"/>
                <w:color w:val="auto"/>
              </w:rPr>
            </w:pPr>
          </w:p>
        </w:tc>
      </w:tr>
      <w:tr>
        <w:trPr>
          <w:trHeight w:val="264"/>
        </w:trPr>
        <w:tc>
          <w:tcPr>
            <w:tcW w:w="77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Revenue</w:t>
            </w: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50"/>
        </w:trPr>
        <w:tc>
          <w:tcPr>
            <w:tcW w:w="77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Collaborations and licenses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204</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1,316</w:t>
            </w:r>
          </w:p>
        </w:tc>
        <w:tc>
          <w:tcPr>
            <w:tcW w:w="0" w:type="dxa"/>
            <w:vAlign w:val="bottom"/>
          </w:tcPr>
          <w:p>
            <w:pPr>
              <w:spacing w:after="0"/>
              <w:rPr>
                <w:sz w:val="1"/>
                <w:szCs w:val="1"/>
                <w:color w:val="auto"/>
              </w:rPr>
            </w:pPr>
          </w:p>
        </w:tc>
      </w:tr>
      <w:tr>
        <w:trPr>
          <w:trHeight w:val="270"/>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License revenue from Genevant</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178,741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Non-cash royalty revenue</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448</w:t>
            </w:r>
          </w:p>
        </w:tc>
        <w:tc>
          <w:tcPr>
            <w:tcW w:w="0" w:type="dxa"/>
            <w:vAlign w:val="bottom"/>
          </w:tcPr>
          <w:p>
            <w:pPr>
              <w:spacing w:after="0"/>
              <w:rPr>
                <w:sz w:val="1"/>
                <w:szCs w:val="1"/>
                <w:color w:val="auto"/>
              </w:rPr>
            </w:pPr>
          </w:p>
        </w:tc>
      </w:tr>
      <w:tr>
        <w:trPr>
          <w:trHeight w:val="247"/>
        </w:trPr>
        <w:tc>
          <w:tcPr>
            <w:tcW w:w="776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Total revenue</w:t>
            </w:r>
          </w:p>
        </w:tc>
        <w:tc>
          <w:tcPr>
            <w:tcW w:w="180" w:type="dxa"/>
            <w:vAlign w:val="bottom"/>
          </w:tcPr>
          <w:p>
            <w:pPr>
              <w:spacing w:after="0"/>
              <w:rPr>
                <w:sz w:val="21"/>
                <w:szCs w:val="21"/>
                <w:color w:val="auto"/>
              </w:rPr>
            </w:pPr>
          </w:p>
        </w:tc>
        <w:tc>
          <w:tcPr>
            <w:tcW w:w="150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179,126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1,764</w:t>
            </w:r>
          </w:p>
        </w:tc>
        <w:tc>
          <w:tcPr>
            <w:tcW w:w="0" w:type="dxa"/>
            <w:vAlign w:val="bottom"/>
          </w:tcPr>
          <w:p>
            <w:pPr>
              <w:spacing w:after="0"/>
              <w:rPr>
                <w:sz w:val="1"/>
                <w:szCs w:val="1"/>
                <w:color w:val="auto"/>
              </w:rPr>
            </w:pPr>
          </w:p>
        </w:tc>
      </w:tr>
      <w:tr>
        <w:trPr>
          <w:trHeight w:val="274"/>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Operating expenses</w:t>
            </w: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Research and development</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8,959</w:t>
            </w:r>
          </w:p>
        </w:tc>
        <w:tc>
          <w:tcPr>
            <w:tcW w:w="0" w:type="dxa"/>
            <w:vAlign w:val="bottom"/>
          </w:tcPr>
          <w:p>
            <w:pPr>
              <w:spacing w:after="0"/>
              <w:rPr>
                <w:sz w:val="1"/>
                <w:szCs w:val="1"/>
                <w:color w:val="auto"/>
              </w:rPr>
            </w:pPr>
          </w:p>
        </w:tc>
      </w:tr>
      <w:tr>
        <w:trPr>
          <w:trHeight w:val="270"/>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5,832</w:t>
            </w:r>
          </w:p>
        </w:tc>
        <w:tc>
          <w:tcPr>
            <w:tcW w:w="0" w:type="dxa"/>
            <w:vAlign w:val="bottom"/>
          </w:tcPr>
          <w:p>
            <w:pPr>
              <w:spacing w:after="0"/>
              <w:rPr>
                <w:sz w:val="1"/>
                <w:szCs w:val="1"/>
                <w:color w:val="auto"/>
              </w:rPr>
            </w:pPr>
          </w:p>
        </w:tc>
      </w:tr>
      <w:tr>
        <w:trPr>
          <w:trHeight w:val="270"/>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Change in fair value of contingent consideration</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299</w:t>
            </w:r>
          </w:p>
        </w:tc>
        <w:tc>
          <w:tcPr>
            <w:tcW w:w="0" w:type="dxa"/>
            <w:vAlign w:val="bottom"/>
          </w:tcPr>
          <w:p>
            <w:pPr>
              <w:spacing w:after="0"/>
              <w:rPr>
                <w:sz w:val="1"/>
                <w:szCs w:val="1"/>
                <w:color w:val="auto"/>
              </w:rPr>
            </w:pPr>
          </w:p>
        </w:tc>
      </w:tr>
      <w:tr>
        <w:trPr>
          <w:trHeight w:val="282"/>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Restructuring costs</w:t>
            </w:r>
          </w:p>
        </w:tc>
        <w:tc>
          <w:tcPr>
            <w:tcW w:w="180" w:type="dxa"/>
            <w:vAlign w:val="bottom"/>
          </w:tcPr>
          <w:p>
            <w:pPr>
              <w:spacing w:after="0"/>
              <w:rPr>
                <w:sz w:val="24"/>
                <w:szCs w:val="24"/>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12,373</w:t>
            </w:r>
          </w:p>
        </w:tc>
        <w:tc>
          <w:tcPr>
            <w:tcW w:w="0" w:type="dxa"/>
            <w:vAlign w:val="bottom"/>
          </w:tcPr>
          <w:p>
            <w:pPr>
              <w:spacing w:after="0"/>
              <w:rPr>
                <w:sz w:val="1"/>
                <w:szCs w:val="1"/>
                <w:color w:val="auto"/>
              </w:rPr>
            </w:pPr>
          </w:p>
        </w:tc>
      </w:tr>
      <w:tr>
        <w:trPr>
          <w:trHeight w:val="265"/>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operating expenses</w:t>
            </w:r>
          </w:p>
        </w:tc>
        <w:tc>
          <w:tcPr>
            <w:tcW w:w="180" w:type="dxa"/>
            <w:vAlign w:val="bottom"/>
            <w:tcBorders>
              <w:top w:val="single" w:sz="8" w:color="auto"/>
              <w:bottom w:val="single" w:sz="8" w:color="auto"/>
            </w:tcBorders>
          </w:tcPr>
          <w:p>
            <w:pPr>
              <w:spacing w:after="0"/>
              <w:rPr>
                <w:sz w:val="23"/>
                <w:szCs w:val="23"/>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10,218</w:t>
            </w:r>
          </w:p>
        </w:tc>
        <w:tc>
          <w:tcPr>
            <w:tcW w:w="1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27,463</w:t>
            </w:r>
          </w:p>
        </w:tc>
        <w:tc>
          <w:tcPr>
            <w:tcW w:w="0" w:type="dxa"/>
            <w:vAlign w:val="bottom"/>
          </w:tcPr>
          <w:p>
            <w:pPr>
              <w:spacing w:after="0"/>
              <w:rPr>
                <w:sz w:val="1"/>
                <w:szCs w:val="1"/>
                <w:color w:val="auto"/>
              </w:rPr>
            </w:pPr>
          </w:p>
        </w:tc>
      </w:tr>
      <w:tr>
        <w:trPr>
          <w:trHeight w:val="246"/>
        </w:trPr>
        <w:tc>
          <w:tcPr>
            <w:tcW w:w="7760" w:type="dxa"/>
            <w:vAlign w:val="bottom"/>
          </w:tcPr>
          <w:p>
            <w:pPr>
              <w:spacing w:after="0" w:line="245" w:lineRule="exact"/>
              <w:rPr>
                <w:sz w:val="20"/>
                <w:szCs w:val="20"/>
                <w:color w:val="auto"/>
              </w:rPr>
            </w:pPr>
            <w:r>
              <w:rPr>
                <w:rFonts w:ascii="Times New Roman" w:cs="Times New Roman" w:eastAsia="Times New Roman" w:hAnsi="Times New Roman"/>
                <w:sz w:val="22"/>
                <w:szCs w:val="22"/>
                <w:b w:val="1"/>
                <w:bCs w:val="1"/>
                <w:color w:val="auto"/>
              </w:rPr>
              <w:t>Income (loss) from operations</w:t>
            </w:r>
          </w:p>
        </w:tc>
        <w:tc>
          <w:tcPr>
            <w:tcW w:w="180" w:type="dxa"/>
            <w:vAlign w:val="bottom"/>
          </w:tcPr>
          <w:p>
            <w:pPr>
              <w:spacing w:after="0"/>
              <w:rPr>
                <w:sz w:val="21"/>
                <w:szCs w:val="21"/>
                <w:color w:val="auto"/>
              </w:rPr>
            </w:pPr>
          </w:p>
        </w:tc>
        <w:tc>
          <w:tcPr>
            <w:tcW w:w="1500" w:type="dxa"/>
            <w:vAlign w:val="bottom"/>
          </w:tcPr>
          <w:p>
            <w:pPr>
              <w:jc w:val="right"/>
              <w:spacing w:after="0" w:line="245" w:lineRule="exact"/>
              <w:rPr>
                <w:sz w:val="20"/>
                <w:szCs w:val="20"/>
                <w:color w:val="auto"/>
              </w:rPr>
            </w:pPr>
            <w:r>
              <w:rPr>
                <w:rFonts w:ascii="Times New Roman" w:cs="Times New Roman" w:eastAsia="Times New Roman" w:hAnsi="Times New Roman"/>
                <w:sz w:val="22"/>
                <w:szCs w:val="22"/>
                <w:color w:val="auto"/>
              </w:rPr>
              <w:t>168,908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line="245" w:lineRule="exact"/>
              <w:rPr>
                <w:sz w:val="20"/>
                <w:szCs w:val="20"/>
                <w:color w:val="auto"/>
              </w:rPr>
            </w:pPr>
            <w:r>
              <w:rPr>
                <w:rFonts w:ascii="Times New Roman" w:cs="Times New Roman" w:eastAsia="Times New Roman" w:hAnsi="Times New Roman"/>
                <w:sz w:val="22"/>
                <w:szCs w:val="22"/>
                <w:color w:val="auto"/>
              </w:rPr>
              <w:t>(25,699)</w:t>
            </w:r>
          </w:p>
        </w:tc>
        <w:tc>
          <w:tcPr>
            <w:tcW w:w="0" w:type="dxa"/>
            <w:vAlign w:val="bottom"/>
          </w:tcPr>
          <w:p>
            <w:pPr>
              <w:spacing w:after="0"/>
              <w:rPr>
                <w:sz w:val="1"/>
                <w:szCs w:val="1"/>
                <w:color w:val="auto"/>
              </w:rPr>
            </w:pPr>
          </w:p>
        </w:tc>
      </w:tr>
      <w:tr>
        <w:trPr>
          <w:trHeight w:val="274"/>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Other income</w:t>
            </w: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Interest income</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1,197</w:t>
            </w:r>
          </w:p>
        </w:tc>
        <w:tc>
          <w:tcPr>
            <w:tcW w:w="0" w:type="dxa"/>
            <w:vAlign w:val="bottom"/>
          </w:tcPr>
          <w:p>
            <w:pPr>
              <w:spacing w:after="0"/>
              <w:rPr>
                <w:sz w:val="1"/>
                <w:szCs w:val="1"/>
                <w:color w:val="auto"/>
              </w:rPr>
            </w:pPr>
          </w:p>
        </w:tc>
      </w:tr>
      <w:tr>
        <w:trPr>
          <w:trHeight w:val="270"/>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Interest expense</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0" w:type="dxa"/>
            <w:vAlign w:val="bottom"/>
          </w:tcPr>
          <w:p>
            <w:pPr>
              <w:spacing w:after="0"/>
              <w:rPr>
                <w:sz w:val="1"/>
                <w:szCs w:val="1"/>
                <w:color w:val="auto"/>
              </w:rPr>
            </w:pPr>
          </w:p>
        </w:tc>
      </w:tr>
      <w:tr>
        <w:trPr>
          <w:trHeight w:val="282"/>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Foreign exchange (loss) gain</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65"/>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other income</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787</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1,173</w:t>
            </w:r>
          </w:p>
        </w:tc>
        <w:tc>
          <w:tcPr>
            <w:tcW w:w="0" w:type="dxa"/>
            <w:vAlign w:val="bottom"/>
          </w:tcPr>
          <w:p>
            <w:pPr>
              <w:spacing w:after="0"/>
              <w:rPr>
                <w:sz w:val="1"/>
                <w:szCs w:val="1"/>
                <w:color w:val="auto"/>
              </w:rPr>
            </w:pPr>
          </w:p>
        </w:tc>
      </w:tr>
      <w:tr>
        <w:trPr>
          <w:trHeight w:val="246"/>
        </w:trPr>
        <w:tc>
          <w:tcPr>
            <w:tcW w:w="7760" w:type="dxa"/>
            <w:vAlign w:val="bottom"/>
          </w:tcPr>
          <w:p>
            <w:pPr>
              <w:spacing w:after="0" w:line="245" w:lineRule="exact"/>
              <w:rPr>
                <w:sz w:val="20"/>
                <w:szCs w:val="20"/>
                <w:color w:val="auto"/>
              </w:rPr>
            </w:pPr>
            <w:r>
              <w:rPr>
                <w:rFonts w:ascii="Times New Roman" w:cs="Times New Roman" w:eastAsia="Times New Roman" w:hAnsi="Times New Roman"/>
                <w:sz w:val="22"/>
                <w:szCs w:val="22"/>
                <w:b w:val="1"/>
                <w:bCs w:val="1"/>
                <w:color w:val="auto"/>
              </w:rPr>
              <w:t>Net income (loss)</w:t>
            </w:r>
          </w:p>
        </w:tc>
        <w:tc>
          <w:tcPr>
            <w:tcW w:w="180" w:type="dxa"/>
            <w:vAlign w:val="bottom"/>
          </w:tcPr>
          <w:p>
            <w:pPr>
              <w:jc w:val="right"/>
              <w:spacing w:after="0" w:line="245" w:lineRule="exact"/>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Pr>
          <w:p>
            <w:pPr>
              <w:jc w:val="right"/>
              <w:spacing w:after="0" w:line="245" w:lineRule="exact"/>
              <w:rPr>
                <w:sz w:val="20"/>
                <w:szCs w:val="20"/>
                <w:color w:val="auto"/>
              </w:rPr>
            </w:pPr>
            <w:r>
              <w:rPr>
                <w:rFonts w:ascii="Times New Roman" w:cs="Times New Roman" w:eastAsia="Times New Roman" w:hAnsi="Times New Roman"/>
                <w:sz w:val="22"/>
                <w:szCs w:val="22"/>
                <w:color w:val="auto"/>
              </w:rPr>
              <w:t>169,695</w:t>
            </w:r>
          </w:p>
        </w:tc>
        <w:tc>
          <w:tcPr>
            <w:tcW w:w="100" w:type="dxa"/>
            <w:vAlign w:val="bottom"/>
          </w:tcPr>
          <w:p>
            <w:pPr>
              <w:spacing w:after="0"/>
              <w:rPr>
                <w:sz w:val="21"/>
                <w:szCs w:val="21"/>
                <w:color w:val="auto"/>
              </w:rPr>
            </w:pPr>
          </w:p>
        </w:tc>
        <w:tc>
          <w:tcPr>
            <w:tcW w:w="300" w:type="dxa"/>
            <w:vAlign w:val="bottom"/>
          </w:tcPr>
          <w:p>
            <w:pPr>
              <w:jc w:val="right"/>
              <w:ind w:right="72"/>
              <w:spacing w:after="0" w:line="245" w:lineRule="exact"/>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Pr>
          <w:p>
            <w:pPr>
              <w:jc w:val="right"/>
              <w:spacing w:after="0" w:line="245" w:lineRule="exact"/>
              <w:rPr>
                <w:sz w:val="20"/>
                <w:szCs w:val="20"/>
                <w:color w:val="auto"/>
              </w:rPr>
            </w:pPr>
            <w:r>
              <w:rPr>
                <w:rFonts w:ascii="Times New Roman" w:cs="Times New Roman" w:eastAsia="Times New Roman" w:hAnsi="Times New Roman"/>
                <w:sz w:val="22"/>
                <w:szCs w:val="22"/>
                <w:color w:val="auto"/>
              </w:rPr>
              <w:t>(24,526)</w:t>
            </w:r>
          </w:p>
        </w:tc>
        <w:tc>
          <w:tcPr>
            <w:tcW w:w="0" w:type="dxa"/>
            <w:vAlign w:val="bottom"/>
          </w:tcPr>
          <w:p>
            <w:pPr>
              <w:spacing w:after="0"/>
              <w:rPr>
                <w:sz w:val="1"/>
                <w:szCs w:val="1"/>
                <w:color w:val="auto"/>
              </w:rPr>
            </w:pPr>
          </w:p>
        </w:tc>
      </w:tr>
      <w:tr>
        <w:trPr>
          <w:trHeight w:val="274"/>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income (loss) per common share</w:t>
            </w: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0.88</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w:t>
            </w:r>
          </w:p>
        </w:tc>
        <w:tc>
          <w:tcPr>
            <w:tcW w:w="0" w:type="dxa"/>
            <w:vAlign w:val="bottom"/>
          </w:tcPr>
          <w:p>
            <w:pPr>
              <w:spacing w:after="0"/>
              <w:rPr>
                <w:sz w:val="1"/>
                <w:szCs w:val="1"/>
                <w:color w:val="auto"/>
              </w:rPr>
            </w:pPr>
          </w:p>
        </w:tc>
      </w:tr>
      <w:tr>
        <w:trPr>
          <w:trHeight w:val="266"/>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0.87</w:t>
            </w:r>
          </w:p>
        </w:tc>
        <w:tc>
          <w:tcPr>
            <w:tcW w:w="10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w:t>
            </w:r>
          </w:p>
        </w:tc>
        <w:tc>
          <w:tcPr>
            <w:tcW w:w="0" w:type="dxa"/>
            <w:vAlign w:val="bottom"/>
          </w:tcPr>
          <w:p>
            <w:pPr>
              <w:spacing w:after="0"/>
              <w:rPr>
                <w:sz w:val="1"/>
                <w:szCs w:val="1"/>
                <w:color w:val="auto"/>
              </w:rPr>
            </w:pPr>
          </w:p>
        </w:tc>
      </w:tr>
      <w:tr>
        <w:trPr>
          <w:trHeight w:val="274"/>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Weighted average number of common shares</w:t>
            </w: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Basic</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193,768,641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190,707,085</w:t>
            </w:r>
          </w:p>
        </w:tc>
        <w:tc>
          <w:tcPr>
            <w:tcW w:w="0" w:type="dxa"/>
            <w:vAlign w:val="bottom"/>
          </w:tcPr>
          <w:p>
            <w:pPr>
              <w:spacing w:after="0"/>
              <w:rPr>
                <w:sz w:val="1"/>
                <w:szCs w:val="1"/>
                <w:color w:val="auto"/>
              </w:rPr>
            </w:pPr>
          </w:p>
        </w:tc>
      </w:tr>
      <w:tr>
        <w:trPr>
          <w:trHeight w:val="282"/>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Diluted</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195,214,067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190,707,085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CONSOLIDATED BALANCE SHEETS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March 31,</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b w:val="1"/>
                <w:bCs w:val="1"/>
                <w:color w:val="auto"/>
              </w:rPr>
              <w:t>December 31,</w:t>
            </w:r>
          </w:p>
        </w:tc>
      </w:tr>
      <w:tr>
        <w:trPr>
          <w:trHeight w:val="286"/>
        </w:trPr>
        <w:tc>
          <w:tcPr>
            <w:tcW w:w="7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20" w:type="dxa"/>
            <w:vAlign w:val="bottom"/>
          </w:tcPr>
          <w:p>
            <w:pPr>
              <w:spacing w:after="0"/>
              <w:rPr>
                <w:sz w:val="24"/>
                <w:szCs w:val="24"/>
                <w:color w:val="auto"/>
              </w:rPr>
            </w:pPr>
          </w:p>
        </w:tc>
      </w:tr>
      <w:tr>
        <w:trPr>
          <w:trHeight w:val="251"/>
        </w:trPr>
        <w:tc>
          <w:tcPr>
            <w:tcW w:w="77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Cash, cash equivalents and marketable securities, current</w:t>
            </w:r>
          </w:p>
        </w:tc>
        <w:tc>
          <w:tcPr>
            <w:tcW w:w="24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95,226</w:t>
            </w:r>
          </w:p>
        </w:tc>
        <w:tc>
          <w:tcPr>
            <w:tcW w:w="100" w:type="dxa"/>
            <w:vAlign w:val="bottom"/>
          </w:tcPr>
          <w:p>
            <w:pPr>
              <w:spacing w:after="0"/>
              <w:rPr>
                <w:sz w:val="21"/>
                <w:szCs w:val="21"/>
                <w:color w:val="auto"/>
              </w:rPr>
            </w:pPr>
          </w:p>
        </w:tc>
        <w:tc>
          <w:tcPr>
            <w:tcW w:w="1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5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91,471</w:t>
            </w:r>
          </w:p>
        </w:tc>
        <w:tc>
          <w:tcPr>
            <w:tcW w:w="20" w:type="dxa"/>
            <w:vAlign w:val="bottom"/>
          </w:tcPr>
          <w:p>
            <w:pPr>
              <w:spacing w:after="0"/>
              <w:rPr>
                <w:sz w:val="21"/>
                <w:szCs w:val="21"/>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License receivable from Genevant</w:t>
            </w:r>
          </w:p>
        </w:tc>
        <w:tc>
          <w:tcPr>
            <w:tcW w:w="24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178,741</w:t>
            </w:r>
          </w:p>
        </w:tc>
        <w:tc>
          <w:tcPr>
            <w:tcW w:w="160" w:type="dxa"/>
            <w:vAlign w:val="bottom"/>
          </w:tcPr>
          <w:p>
            <w:pPr>
              <w:spacing w:after="0"/>
              <w:rPr>
                <w:sz w:val="23"/>
                <w:szCs w:val="23"/>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Accounts receivable and other current assets</w:t>
            </w:r>
          </w:p>
        </w:tc>
        <w:tc>
          <w:tcPr>
            <w:tcW w:w="240" w:type="dxa"/>
            <w:vAlign w:val="bottom"/>
          </w:tcPr>
          <w:p>
            <w:pPr>
              <w:spacing w:after="0"/>
              <w:rPr>
                <w:sz w:val="24"/>
                <w:szCs w:val="2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3,044</w:t>
            </w:r>
          </w:p>
        </w:tc>
        <w:tc>
          <w:tcPr>
            <w:tcW w:w="16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2,985</w:t>
            </w:r>
          </w:p>
        </w:tc>
      </w:tr>
      <w:tr>
        <w:trPr>
          <w:trHeight w:val="251"/>
        </w:trPr>
        <w:tc>
          <w:tcPr>
            <w:tcW w:w="7760" w:type="dxa"/>
            <w:vAlign w:val="bottom"/>
          </w:tcPr>
          <w:p>
            <w:pPr>
              <w:ind w:left="260"/>
              <w:spacing w:after="0" w:line="251" w:lineRule="exact"/>
              <w:rPr>
                <w:sz w:val="20"/>
                <w:szCs w:val="20"/>
                <w:color w:val="auto"/>
              </w:rPr>
            </w:pPr>
            <w:r>
              <w:rPr>
                <w:rFonts w:ascii="Times New Roman" w:cs="Times New Roman" w:eastAsia="Times New Roman" w:hAnsi="Times New Roman"/>
                <w:sz w:val="22"/>
                <w:szCs w:val="22"/>
                <w:b w:val="1"/>
                <w:bCs w:val="1"/>
                <w:color w:val="auto"/>
              </w:rPr>
              <w:t>Total current assets</w:t>
            </w: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277,011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2"/>
          </w:tcPr>
          <w:p>
            <w:pPr>
              <w:jc w:val="right"/>
              <w:ind w:right="20"/>
              <w:spacing w:after="0" w:line="251" w:lineRule="exact"/>
              <w:rPr>
                <w:sz w:val="20"/>
                <w:szCs w:val="20"/>
                <w:color w:val="auto"/>
              </w:rPr>
            </w:pPr>
            <w:r>
              <w:rPr>
                <w:rFonts w:ascii="Times New Roman" w:cs="Times New Roman" w:eastAsia="Times New Roman" w:hAnsi="Times New Roman"/>
                <w:sz w:val="22"/>
                <w:szCs w:val="22"/>
                <w:color w:val="auto"/>
              </w:rPr>
              <w:t>94,456</w:t>
            </w: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Property and equipment, net of accumulated depreciation and impairment</w:t>
            </w:r>
          </w:p>
        </w:tc>
        <w:tc>
          <w:tcPr>
            <w:tcW w:w="24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22</w:t>
            </w:r>
          </w:p>
        </w:tc>
        <w:tc>
          <w:tcPr>
            <w:tcW w:w="160" w:type="dxa"/>
            <w:vAlign w:val="bottom"/>
          </w:tcPr>
          <w:p>
            <w:pPr>
              <w:spacing w:after="0"/>
              <w:rPr>
                <w:sz w:val="23"/>
                <w:szCs w:val="23"/>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32</w:t>
            </w:r>
          </w:p>
        </w:tc>
      </w:t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Other non-current assets</w:t>
            </w:r>
          </w:p>
        </w:tc>
        <w:tc>
          <w:tcPr>
            <w:tcW w:w="240" w:type="dxa"/>
            <w:vAlign w:val="bottom"/>
          </w:tcPr>
          <w:p>
            <w:pPr>
              <w:spacing w:after="0"/>
              <w:rPr>
                <w:sz w:val="24"/>
                <w:szCs w:val="2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131</w:t>
            </w:r>
          </w:p>
        </w:tc>
        <w:tc>
          <w:tcPr>
            <w:tcW w:w="16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130</w:t>
            </w:r>
          </w:p>
        </w:tc>
      </w:tr>
      <w:tr>
        <w:trPr>
          <w:trHeight w:val="265"/>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277,164</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94,618</w:t>
            </w:r>
          </w:p>
        </w:tc>
      </w:tr>
      <w:tr>
        <w:trPr>
          <w:trHeight w:val="21"/>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Accounts payable and accrued liabilities</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4,474</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5,459</w:t>
            </w:r>
          </w:p>
        </w:tc>
      </w:t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Lease liability, current</w:t>
            </w:r>
          </w:p>
        </w:tc>
        <w:tc>
          <w:tcPr>
            <w:tcW w:w="240" w:type="dxa"/>
            <w:vAlign w:val="bottom"/>
          </w:tcPr>
          <w:p>
            <w:pPr>
              <w:spacing w:after="0"/>
              <w:rPr>
                <w:sz w:val="24"/>
                <w:szCs w:val="2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631</w:t>
            </w:r>
          </w:p>
        </w:tc>
        <w:tc>
          <w:tcPr>
            <w:tcW w:w="16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547</w:t>
            </w:r>
          </w:p>
        </w:tc>
      </w:tr>
      <w:tr>
        <w:trPr>
          <w:trHeight w:val="251"/>
        </w:trPr>
        <w:tc>
          <w:tcPr>
            <w:tcW w:w="7760" w:type="dxa"/>
            <w:vAlign w:val="bottom"/>
          </w:tcPr>
          <w:p>
            <w:pPr>
              <w:ind w:left="260"/>
              <w:spacing w:after="0" w:line="251" w:lineRule="exact"/>
              <w:rPr>
                <w:sz w:val="20"/>
                <w:szCs w:val="20"/>
                <w:color w:val="auto"/>
              </w:rPr>
            </w:pPr>
            <w:r>
              <w:rPr>
                <w:rFonts w:ascii="Times New Roman" w:cs="Times New Roman" w:eastAsia="Times New Roman" w:hAnsi="Times New Roman"/>
                <w:sz w:val="22"/>
                <w:szCs w:val="22"/>
                <w:b w:val="1"/>
                <w:bCs w:val="1"/>
                <w:color w:val="auto"/>
              </w:rPr>
              <w:t>Total current liabilities</w:t>
            </w: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5,105</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2"/>
          </w:tcPr>
          <w:p>
            <w:pPr>
              <w:jc w:val="right"/>
              <w:ind w:right="20"/>
              <w:spacing w:after="0" w:line="251" w:lineRule="exact"/>
              <w:rPr>
                <w:sz w:val="20"/>
                <w:szCs w:val="20"/>
                <w:color w:val="auto"/>
              </w:rPr>
            </w:pPr>
            <w:r>
              <w:rPr>
                <w:rFonts w:ascii="Times New Roman" w:cs="Times New Roman" w:eastAsia="Times New Roman" w:hAnsi="Times New Roman"/>
                <w:sz w:val="22"/>
                <w:szCs w:val="22"/>
                <w:color w:val="auto"/>
              </w:rPr>
              <w:t>6,006</w:t>
            </w: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Liability related to sale of future royalties</w:t>
            </w:r>
          </w:p>
        </w:tc>
        <w:tc>
          <w:tcPr>
            <w:tcW w:w="24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3,278</w:t>
            </w:r>
          </w:p>
        </w:tc>
        <w:tc>
          <w:tcPr>
            <w:tcW w:w="160" w:type="dxa"/>
            <w:vAlign w:val="bottom"/>
          </w:tcPr>
          <w:p>
            <w:pPr>
              <w:spacing w:after="0"/>
              <w:rPr>
                <w:sz w:val="23"/>
                <w:szCs w:val="23"/>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3,442</w:t>
            </w: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Contingent consideration</w:t>
            </w:r>
          </w:p>
        </w:tc>
        <w:tc>
          <w:tcPr>
            <w:tcW w:w="24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8,604</w:t>
            </w:r>
          </w:p>
        </w:tc>
        <w:tc>
          <w:tcPr>
            <w:tcW w:w="160" w:type="dxa"/>
            <w:vAlign w:val="bottom"/>
          </w:tcPr>
          <w:p>
            <w:pPr>
              <w:spacing w:after="0"/>
              <w:rPr>
                <w:sz w:val="23"/>
                <w:szCs w:val="23"/>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8,395</w:t>
            </w: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Lease liability, non-current</w:t>
            </w:r>
          </w:p>
        </w:tc>
        <w:tc>
          <w:tcPr>
            <w:tcW w:w="24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199</w:t>
            </w:r>
          </w:p>
        </w:tc>
      </w:tr>
      <w:tr>
        <w:trPr>
          <w:trHeight w:val="283"/>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Total stockholders’ equity</w:t>
            </w: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260,177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76,576</w:t>
            </w:r>
          </w:p>
        </w:tc>
      </w:tr>
    </w:tbl>
    <w:p>
      <w:pPr>
        <w:sectPr>
          <w:pgSz w:w="11900" w:h="16838" w:orient="portrait"/>
          <w:cols w:equalWidth="0" w:num="1">
            <w:col w:w="11240"/>
          </w:cols>
          <w:pgMar w:left="320" w:top="112" w:right="339" w:bottom="0" w:gutter="0" w:footer="0" w:header="0"/>
        </w:sectPr>
      </w:pPr>
    </w:p>
    <w:bookmarkStart w:id="5" w:name="page6"/>
    <w:bookmarkEnd w:id="5"/>
    <w:p>
      <w:pPr>
        <w:ind w:left="280"/>
        <w:spacing w:after="0"/>
        <w:tabs>
          <w:tab w:leader="none" w:pos="7760" w:val="left"/>
          <w:tab w:leader="none" w:pos="8740" w:val="left"/>
          <w:tab w:leader="none" w:pos="10620" w:val="left"/>
        </w:tabs>
        <w:rPr>
          <w:sz w:val="20"/>
          <w:szCs w:val="20"/>
          <w:color w:val="auto"/>
        </w:rPr>
      </w:pPr>
      <w:r>
        <w:rPr>
          <w:rFonts w:ascii="Times New Roman" w:cs="Times New Roman" w:eastAsia="Times New Roman" w:hAnsi="Times New Roman"/>
          <w:sz w:val="22"/>
          <w:szCs w:val="22"/>
          <w:b w:val="1"/>
          <w:bCs w:val="1"/>
          <w:color w:val="auto"/>
        </w:rPr>
        <w:t>Total liabilities and stockholders’ equity</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277,164 $</w:t>
      </w:r>
      <w:r>
        <w:rPr>
          <w:sz w:val="20"/>
          <w:szCs w:val="20"/>
          <w:color w:val="auto"/>
        </w:rPr>
        <w:tab/>
      </w:r>
      <w:r>
        <w:rPr>
          <w:rFonts w:ascii="Times New Roman" w:cs="Times New Roman" w:eastAsia="Times New Roman" w:hAnsi="Times New Roman"/>
          <w:sz w:val="21"/>
          <w:szCs w:val="21"/>
          <w:color w:val="auto"/>
        </w:rPr>
        <w:t>94,618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22860</wp:posOffset>
            </wp:positionV>
            <wp:extent cx="22028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0281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CASH FLOWS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7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w w:val="99"/>
              </w:rPr>
              <w:t>Three Months Ended March 31,</w:t>
            </w:r>
          </w:p>
        </w:tc>
      </w:tr>
      <w:tr>
        <w:trPr>
          <w:trHeight w:val="264"/>
        </w:trPr>
        <w:tc>
          <w:tcPr>
            <w:tcW w:w="77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50"/>
        </w:trPr>
        <w:tc>
          <w:tcPr>
            <w:tcW w:w="776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income (loss)</w:t>
            </w:r>
          </w:p>
        </w:tc>
        <w:tc>
          <w:tcPr>
            <w:tcW w:w="1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169,695</w:t>
            </w:r>
          </w:p>
        </w:tc>
        <w:tc>
          <w:tcPr>
            <w:tcW w:w="100" w:type="dxa"/>
            <w:vAlign w:val="bottom"/>
          </w:tcPr>
          <w:p>
            <w:pPr>
              <w:spacing w:after="0"/>
              <w:rPr>
                <w:sz w:val="21"/>
                <w:szCs w:val="21"/>
                <w:color w:val="auto"/>
              </w:rPr>
            </w:pPr>
          </w:p>
        </w:tc>
        <w:tc>
          <w:tcPr>
            <w:tcW w:w="380" w:type="dxa"/>
            <w:vAlign w:val="bottom"/>
          </w:tcPr>
          <w:p>
            <w:pPr>
              <w:jc w:val="right"/>
              <w:ind w:right="152"/>
              <w:spacing w:after="0" w:line="249" w:lineRule="exact"/>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(24,526)</w:t>
            </w: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Non-cash items</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5,866</w:t>
            </w: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License receivable from Genevant</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(178,741)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Other changes in working capital</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5,269</w:t>
            </w:r>
          </w:p>
        </w:tc>
      </w:tr>
      <w:tr>
        <w:trPr>
          <w:trHeight w:val="247"/>
        </w:trPr>
        <w:tc>
          <w:tcPr>
            <w:tcW w:w="7760" w:type="dxa"/>
            <w:vAlign w:val="bottom"/>
          </w:tcPr>
          <w:p>
            <w:pPr>
              <w:ind w:left="260"/>
              <w:spacing w:after="0" w:line="247" w:lineRule="exact"/>
              <w:rPr>
                <w:sz w:val="20"/>
                <w:szCs w:val="20"/>
                <w:color w:val="auto"/>
              </w:rPr>
            </w:pPr>
            <w:r>
              <w:rPr>
                <w:rFonts w:ascii="Times New Roman" w:cs="Times New Roman" w:eastAsia="Times New Roman" w:hAnsi="Times New Roman"/>
                <w:sz w:val="22"/>
                <w:szCs w:val="22"/>
                <w:b w:val="1"/>
                <w:bCs w:val="1"/>
                <w:color w:val="auto"/>
              </w:rPr>
              <w:t>Net cash used in operating activities</w:t>
            </w:r>
          </w:p>
        </w:tc>
        <w:tc>
          <w:tcPr>
            <w:tcW w:w="180" w:type="dxa"/>
            <w:vAlign w:val="bottom"/>
          </w:tcPr>
          <w:p>
            <w:pPr>
              <w:spacing w:after="0"/>
              <w:rPr>
                <w:sz w:val="21"/>
                <w:szCs w:val="21"/>
                <w:color w:val="auto"/>
              </w:rPr>
            </w:pPr>
          </w:p>
        </w:tc>
        <w:tc>
          <w:tcPr>
            <w:tcW w:w="150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(8,110)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(13,391)</w:t>
            </w:r>
          </w:p>
        </w:tc>
      </w:tr>
      <w:tr>
        <w:trPr>
          <w:trHeight w:val="270"/>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Net cash provided by investing activities</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2,199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11,349</w:t>
            </w:r>
          </w:p>
        </w:tc>
      </w:tr>
      <w:tr>
        <w:trPr>
          <w:trHeight w:val="274"/>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Net cash provided by financing activities</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2,784</w:t>
            </w:r>
          </w:p>
        </w:tc>
      </w:t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Effect of foreign exchange rate changes on cash and cash equivalents</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51"/>
        </w:trPr>
        <w:tc>
          <w:tcPr>
            <w:tcW w:w="7760" w:type="dxa"/>
            <w:vAlign w:val="bottom"/>
          </w:tcPr>
          <w:p>
            <w:pPr>
              <w:ind w:left="260"/>
              <w:spacing w:after="0" w:line="251" w:lineRule="exact"/>
              <w:rPr>
                <w:sz w:val="20"/>
                <w:szCs w:val="20"/>
                <w:color w:val="auto"/>
              </w:rPr>
            </w:pPr>
            <w:r>
              <w:rPr>
                <w:rFonts w:ascii="Times New Roman" w:cs="Times New Roman" w:eastAsia="Times New Roman" w:hAnsi="Times New Roman"/>
                <w:sz w:val="22"/>
                <w:szCs w:val="22"/>
                <w:b w:val="1"/>
                <w:bCs w:val="1"/>
                <w:color w:val="auto"/>
              </w:rPr>
              <w:t>Increase in cash and cash equivalents</w:t>
            </w:r>
          </w:p>
        </w:tc>
        <w:tc>
          <w:tcPr>
            <w:tcW w:w="180" w:type="dxa"/>
            <w:vAlign w:val="bottom"/>
          </w:tcPr>
          <w:p>
            <w:pPr>
              <w:spacing w:after="0"/>
              <w:rPr>
                <w:sz w:val="21"/>
                <w:szCs w:val="21"/>
                <w:color w:val="auto"/>
              </w:rPr>
            </w:pPr>
          </w:p>
        </w:tc>
        <w:tc>
          <w:tcPr>
            <w:tcW w:w="15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5,698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746</w:t>
            </w:r>
          </w:p>
        </w:tc>
      </w:t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beginning of period</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18,008</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36,330</w:t>
            </w:r>
          </w:p>
        </w:tc>
      </w:tr>
      <w:tr>
        <w:trPr>
          <w:trHeight w:val="251"/>
        </w:trPr>
        <w:tc>
          <w:tcPr>
            <w:tcW w:w="7760" w:type="dxa"/>
            <w:vAlign w:val="bottom"/>
          </w:tcPr>
          <w:p>
            <w:pPr>
              <w:ind w:left="260"/>
              <w:spacing w:after="0" w:line="251" w:lineRule="exact"/>
              <w:rPr>
                <w:sz w:val="20"/>
                <w:szCs w:val="20"/>
                <w:color w:val="auto"/>
              </w:rPr>
            </w:pPr>
            <w:r>
              <w:rPr>
                <w:rFonts w:ascii="Times New Roman" w:cs="Times New Roman" w:eastAsia="Times New Roman" w:hAnsi="Times New Roman"/>
                <w:sz w:val="22"/>
                <w:szCs w:val="22"/>
                <w:b w:val="1"/>
                <w:bCs w:val="1"/>
                <w:color w:val="auto"/>
              </w:rPr>
              <w:t>Cash and cash equivalents, end of period</w:t>
            </w:r>
          </w:p>
        </w:tc>
        <w:tc>
          <w:tcPr>
            <w:tcW w:w="180" w:type="dxa"/>
            <w:vAlign w:val="bottom"/>
          </w:tcPr>
          <w:p>
            <w:pPr>
              <w:spacing w:after="0"/>
              <w:rPr>
                <w:sz w:val="21"/>
                <w:szCs w:val="21"/>
                <w:color w:val="auto"/>
              </w:rPr>
            </w:pPr>
          </w:p>
        </w:tc>
        <w:tc>
          <w:tcPr>
            <w:tcW w:w="15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23,706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37,076</w:t>
            </w:r>
          </w:p>
        </w:tc>
      </w:tr>
      <w:tr>
        <w:trPr>
          <w:trHeight w:val="283"/>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Investments in marketable securities</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71,520</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75,631</w:t>
            </w:r>
          </w:p>
        </w:tc>
      </w:tr>
      <w:tr>
        <w:trPr>
          <w:trHeight w:val="264"/>
        </w:trPr>
        <w:tc>
          <w:tcPr>
            <w:tcW w:w="776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Cash, cash equivalents and marketable securities,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95,226</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112,707</w:t>
            </w:r>
          </w:p>
        </w:tc>
      </w:tr>
      <w:tr>
        <w:trPr>
          <w:trHeight w:val="21"/>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Imdusiran (AB-729)</w:t>
      </w:r>
      <w:r>
        <w:rPr>
          <w:rFonts w:ascii="Times New Roman" w:cs="Times New Roman" w:eastAsia="Times New Roman" w:hAnsi="Times New Roman"/>
          <w:sz w:val="22"/>
          <w:szCs w:val="22"/>
          <w:color w:val="auto"/>
        </w:rPr>
        <w:t>  </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Imdusiran is an RNAi therapeutic specifically designed to reduce all hepatitis B viral proteins and antigens, including hepatitis B surface antigen (“HBsAg”), which is thought to be a key prerequisite to enable reawakening of a patient’s immune system to control the virus. Imdusiran targets hepatocytes using Arbutus’ novel covalently conjugated </w:t>
      </w:r>
      <w:r>
        <w:rPr>
          <w:rFonts w:ascii="Times New Roman" w:cs="Times New Roman" w:eastAsia="Times New Roman" w:hAnsi="Times New Roman"/>
          <w:sz w:val="22"/>
          <w:szCs w:val="22"/>
          <w:i w:val="1"/>
          <w:iCs w:val="1"/>
          <w:color w:val="auto"/>
        </w:rPr>
        <w:t>N</w:t>
      </w:r>
      <w:r>
        <w:rPr>
          <w:rFonts w:ascii="Times New Roman" w:cs="Times New Roman" w:eastAsia="Times New Roman" w:hAnsi="Times New Roman"/>
          <w:sz w:val="22"/>
          <w:szCs w:val="22"/>
          <w:color w:val="auto"/>
        </w:rPr>
        <w:t>-Acetylgalactosamine delivery technology enabling subcutaneous delivery. In Arbutus’ Phase 2a clinical trials, eight patients with chronic hepatitis B (“cHBV”) achieved functional cure following treatment with imdusiran and nucleos(t)ide analogue (“NA”) therapy in combination with either pegylated interferon alfa-2a or low dose nivolumab plus an immunotherapeutic, with six out of the eight patients continuing to sustain functional cure for over two years. An additional 41 patients across the Company’s Phase 2a clinical trials were able to remain off NA therapy for at least 48 weeks during their Phase 2a clinical trials following treatment with imdusiran. Two additional patients who discontinued NA therapy in their Phase 2a clinical trials have now achieved functional cure during their participation in long-term follow-up. Functional cure is defined as sustained HBsAg seroclearance and hepatitis B virus deoxyribonucleic acid (“HBV DNA”) less than the lower limit of quantification after 24 weeks off treatment, with or without anti-hepatitis B surface antibodies. Clinical data generated thus far has shown imdusiran to be generally safe and well-tolerated, while also providing meaningful reductions in HBsAg and HBV DNA.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HBV</w:t>
      </w:r>
      <w:r>
        <w:rPr>
          <w:rFonts w:ascii="Times New Roman" w:cs="Times New Roman" w:eastAsia="Times New Roman" w:hAnsi="Times New Roman"/>
          <w:sz w:val="22"/>
          <w:szCs w:val="22"/>
          <w:color w:val="auto"/>
        </w:rPr>
        <w:t>  </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Hepatitis B is a potentially life-threatening liver infection caused by hepatitis B virus (“HBV”). HBV can cause chronic infection which leads to a higher risk of death from cirrhosis and liver cancer. cHBV infection represents a significant unmet medical need. The World Health Organization estimates that over 250 million people worldwide suffer from cHBV infection, while other estimates indicate that approximately 2 million people in the United States suffer from cHBV infection. Approximately 1.1 million people die every year from complications related to cHBV infection despite the availability of effective vaccines and current treatment options.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Arbutus</w:t>
      </w:r>
      <w:r>
        <w:rPr>
          <w:rFonts w:ascii="Times New Roman" w:cs="Times New Roman" w:eastAsia="Times New Roman" w:hAnsi="Times New Roman"/>
          <w:sz w:val="22"/>
          <w:szCs w:val="22"/>
          <w:color w:val="auto"/>
        </w:rPr>
        <w:t>  </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Arbutus Biopharma Corporation (Nasdaq: ABUS) is a clinical-stage biopharmaceutical company focused on infectious disease. The Company is currently developing imdusiran (AB-729) and an oral PD-L1 inhibitor (AB-101) for the treatment of cHBV infection. The Company is also consulting closely with and supporting its exclusive licensee, Genevant Sciences, to protect and defend its intellectual property, which is the subject of an on-going lawsuit against Pfizer/BioNTech for use of Arbutus’ patented LNP technology in their COVID-19 vaccines. For more information, visit www.arbutusbio.com.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 and Information</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the Section 27A of the Securities Act of 1933 and Section 21E of the Securities Exchange Act of 1934, and forward-looking information within the meaning of Canadian securities laws (collectively, forward-looking statements). Forward-looking statements in this press release include statements about: the Company’s estimated license revenue from Genevant related to the litigation settlement with Moderna, and the timing thereof; the potential of Fast Track designation to facilitate development and accelerate FDA review; the potential to lead to a functional</w:t>
      </w:r>
    </w:p>
    <w:p>
      <w:pPr>
        <w:sectPr>
          <w:pgSz w:w="11900" w:h="16838" w:orient="portrait"/>
          <w:cols w:equalWidth="0" w:num="1">
            <w:col w:w="11240"/>
          </w:cols>
          <w:pgMar w:left="320" w:top="108" w:right="339" w:bottom="0" w:gutter="0" w:footer="0" w:header="0"/>
        </w:sectPr>
      </w:pPr>
    </w:p>
    <w:bookmarkStart w:id="6" w:name="page7"/>
    <w:bookmarkEnd w:id="6"/>
    <w:p>
      <w:pPr>
        <w:jc w:val="both"/>
        <w:spacing w:after="0" w:line="238" w:lineRule="auto"/>
        <w:rPr>
          <w:sz w:val="20"/>
          <w:szCs w:val="20"/>
          <w:color w:val="auto"/>
        </w:rPr>
      </w:pPr>
      <w:r>
        <w:rPr>
          <w:rFonts w:ascii="Times New Roman" w:cs="Times New Roman" w:eastAsia="Times New Roman" w:hAnsi="Times New Roman"/>
          <w:sz w:val="22"/>
          <w:szCs w:val="22"/>
          <w:color w:val="auto"/>
        </w:rPr>
        <w:t>cure for HBV and/or the discontinuation of HBV therapies after treatment with Arbutus’ product candidates; the durability of clinical benefits from Arbutus’ product candidates; the potential for Arbutus’ product candidates to achieve success in clinical trials; the potential for regulatory approval of Arbutus’ product candidates, Arbutus’ pipeline and development plans for its cHBV programs; and Arbutus’ plans with respect to ongoing patent litigation matters, including the expected timing thereof and the settlement of the Moderna litigation.</w:t>
      </w:r>
    </w:p>
    <w:p>
      <w:pPr>
        <w:spacing w:after="0" w:line="17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With respect to the forward-looking statements contained in this press release, Arbutus has made numerous assumptions regarding, among other things: the effectiveness and timeliness of clinical trials, and the usefulness of the data; the continued demand for Arbutus’ assets; and the stability of economic and market conditions. While Arbutus considers these assumptions to be reasonable, these assumptions are inherently subject to significant business, economic, competitive, market and social uncertainties and contingencies. Additionally, there are known and unknown risk factors which could cause Arbutus’ actual results, performance or achievements to be materially different from any future results, performance or achievements expressed or implied by the forward-looking statements contained herein. Known risk factors include, among others: ongoing and anticipated clinical trials may be more costly or take longer to complete than anticipated, and may never be initiated or completed, or may not generate results that warrant future development of the tested product candidate; Arbutus may elect to change its strategy regarding its product candidates and clinical development activities; Arbutus may not receive the necessary regulatory approvals for the clinical development of Arbutus’ product candidates; uncertainties associated with litigation generally and patent litigation specifically; economic and market conditions may worsen; market shifts may require a change in strategic focus; Arbutus’ workforce reduction and plans to reduce its net cash burn may not materially extend the cash runway and may create a distraction or uncertainty that may adversely affect its operating results, business, or investor perceptions; and risks related to the sufficiency of Arbutus’ cash resources for its foreseeable and unforeseeable operating expenses and capital expenditures.</w:t>
      </w:r>
    </w:p>
    <w:p>
      <w:pPr>
        <w:spacing w:after="0" w:line="1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 more complete discussion of the risks and uncertainties facing Arbutus appears in Arbutus’ Annual Report on Form 10-K, Arbutus’ Quarterly Reports on Form 10-Q and Arbutus’ continuous and periodic disclosure filings, which are available at </w:t>
      </w:r>
      <w:r>
        <w:rPr>
          <w:rFonts w:ascii="Times New Roman" w:cs="Times New Roman" w:eastAsia="Times New Roman" w:hAnsi="Times New Roman"/>
          <w:sz w:val="22"/>
          <w:szCs w:val="22"/>
          <w:u w:val="single" w:color="auto"/>
          <w:color w:val="auto"/>
        </w:rPr>
        <w:t>www.sedar.com</w:t>
      </w:r>
      <w:r>
        <w:rPr>
          <w:rFonts w:ascii="Times New Roman" w:cs="Times New Roman" w:eastAsia="Times New Roman" w:hAnsi="Times New Roman"/>
          <w:sz w:val="22"/>
          <w:szCs w:val="22"/>
          <w:color w:val="auto"/>
        </w:rPr>
        <w:t xml:space="preserve"> and at www.sec.gov. All forward-looking statements herein are qualified in their entirety by this cautionary statement, and Arbutus disclaims any obligation to revise or update any such forward-looking statements or to publicly announce the result of any revisions to any of the forward-looking statements contained herein to reflect future results, events or developments, except as required by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Arbutus Biopharma Corporation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ir@arbutusbio.com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2026-05-13T06:33:01Z</dcterms:created>
  <dcterms:modified xsi:type="dcterms:W3CDTF">2026-05-13T06:33:01Z</dcterms:modified>
</cp:coreProperties>
</file>