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0" w:right="2340"/>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32"/>
          <w:szCs w:val="32"/>
          <w:color w:val="auto"/>
        </w:rPr>
        <w:t>SCHEDULE 13D</w:t>
      </w:r>
    </w:p>
    <w:p>
      <w:pPr>
        <w:spacing w:after="0" w:line="24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241" w:lineRule="exact"/>
        <w:rPr>
          <w:sz w:val="24"/>
          <w:szCs w:val="24"/>
          <w:color w:val="auto"/>
        </w:rPr>
      </w:pPr>
    </w:p>
    <w:p>
      <w:pPr>
        <w:ind w:left="3860"/>
        <w:spacing w:after="0"/>
        <w:rPr>
          <w:sz w:val="20"/>
          <w:szCs w:val="20"/>
          <w:color w:val="auto"/>
        </w:rPr>
      </w:pPr>
      <w:r>
        <w:rPr>
          <w:rFonts w:ascii="Times New Roman" w:cs="Times New Roman" w:eastAsia="Times New Roman" w:hAnsi="Times New Roman"/>
          <w:sz w:val="22"/>
          <w:szCs w:val="22"/>
          <w:b w:val="1"/>
          <w:bCs w:val="1"/>
          <w:color w:val="auto"/>
        </w:rPr>
        <w:t xml:space="preserve">(Amendment No. </w:t>
      </w:r>
      <w:r>
        <w:rPr>
          <w:rFonts w:ascii="Times New Roman" w:cs="Times New Roman" w:eastAsia="Times New Roman" w:hAnsi="Times New Roman"/>
          <w:sz w:val="22"/>
          <w:szCs w:val="22"/>
          <w:b w:val="1"/>
          <w:bCs w:val="1"/>
          <w:color w:val="0000FF"/>
        </w:rPr>
        <w:t>4</w:t>
      </w:r>
      <w:r>
        <w:rPr>
          <w:rFonts w:ascii="Times New Roman" w:cs="Times New Roman" w:eastAsia="Times New Roman" w:hAnsi="Times New Roman"/>
          <w:sz w:val="22"/>
          <w:szCs w:val="22"/>
          <w:b w:val="1"/>
          <w:bCs w:val="1"/>
          <w:color w:val="auto"/>
        </w:rPr>
        <w:t>)*</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Arbutus Biopharma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406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Common Shares, without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356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412115</wp:posOffset>
            </wp:positionV>
            <wp:extent cx="60858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402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DAVID SALANIC</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WHITEFORT CAPITAL MANAGEMENT, LP, 12 East 49th Street, 40th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212-259-4370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JOSEPH KAPLAN</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WHITEFORT CAPITAL MANAGEMENT, LP, 12 East 49th Street, 40th Floor</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212-259-4370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RYAN NEBEL</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OLSHAN FROME WOLOSKY LLP, 1325 Avenue of the Americas</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New York, NY, 10019</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212-451-2300</w:t>
      </w:r>
    </w:p>
    <w:p>
      <w:pPr>
        <w:spacing w:after="0" w:line="200" w:lineRule="exact"/>
        <w:rPr>
          <w:sz w:val="24"/>
          <w:szCs w:val="24"/>
          <w:color w:val="auto"/>
        </w:rPr>
      </w:pPr>
    </w:p>
    <w:p>
      <w:pPr>
        <w:spacing w:after="0" w:line="24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PATRICIA OLASKER</w:t>
      </w:r>
    </w:p>
    <w:p>
      <w:pPr>
        <w:spacing w:after="0" w:line="8"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DAVIES WARD PHILLIPS &amp; VINEBERG LLP, 155 Wellington Street West</w:t>
      </w:r>
    </w:p>
    <w:p>
      <w:pPr>
        <w:jc w:val="center"/>
        <w:ind w:right="1600"/>
        <w:spacing w:after="0" w:line="230" w:lineRule="auto"/>
        <w:rPr>
          <w:sz w:val="20"/>
          <w:szCs w:val="20"/>
          <w:color w:val="auto"/>
        </w:rPr>
      </w:pPr>
      <w:r>
        <w:rPr>
          <w:rFonts w:ascii="Times New Roman" w:cs="Times New Roman" w:eastAsia="Times New Roman" w:hAnsi="Times New Roman"/>
          <w:sz w:val="22"/>
          <w:szCs w:val="22"/>
          <w:b w:val="1"/>
          <w:bCs w:val="1"/>
          <w:color w:val="0000FF"/>
        </w:rPr>
        <w:t>Toronto, A6, M5V 3J7</w:t>
      </w:r>
    </w:p>
    <w:p>
      <w:pPr>
        <w:spacing w:after="0" w:line="1"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416-863-0900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51435</wp:posOffset>
            </wp:positionV>
            <wp:extent cx="60858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185"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1"/>
          <w:szCs w:val="21"/>
          <w:b w:val="1"/>
          <w:bCs w:val="1"/>
          <w:color w:val="auto"/>
        </w:rPr>
        <w:t>(Name, Address and Telephone Number of Person Authorized to Receive Notices and Communications)</w:t>
      </w:r>
    </w:p>
    <w:p>
      <w:pPr>
        <w:spacing w:after="0" w:line="56" w:lineRule="exact"/>
        <w:rPr>
          <w:sz w:val="24"/>
          <w:szCs w:val="24"/>
          <w:color w:val="auto"/>
        </w:rPr>
      </w:pPr>
    </w:p>
    <w:p>
      <w:pPr>
        <w:jc w:val="center"/>
        <w:ind w:right="1600"/>
        <w:spacing w:after="0"/>
        <w:rPr>
          <w:sz w:val="20"/>
          <w:szCs w:val="20"/>
          <w:color w:val="auto"/>
        </w:rPr>
      </w:pPr>
      <w:r>
        <w:rPr>
          <w:rFonts w:ascii="Times New Roman" w:cs="Times New Roman" w:eastAsia="Times New Roman" w:hAnsi="Times New Roman"/>
          <w:sz w:val="22"/>
          <w:szCs w:val="22"/>
          <w:b w:val="1"/>
          <w:bCs w:val="1"/>
          <w:color w:val="0000FF"/>
        </w:rPr>
        <w:t>04/24/2026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17780</wp:posOffset>
            </wp:positionH>
            <wp:positionV relativeFrom="paragraph">
              <wp:posOffset>69215</wp:posOffset>
            </wp:positionV>
            <wp:extent cx="608584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085840" cy="42545"/>
                    </a:xfrm>
                    <a:prstGeom prst="rect">
                      <a:avLst/>
                    </a:prstGeom>
                    <a:noFill/>
                  </pic:spPr>
                </pic:pic>
              </a:graphicData>
            </a:graphic>
          </wp:anchor>
        </w:drawing>
      </w:r>
    </w:p>
    <w:p>
      <w:pPr>
        <w:spacing w:after="0" w:line="213" w:lineRule="exact"/>
        <w:rPr>
          <w:sz w:val="24"/>
          <w:szCs w:val="24"/>
          <w:color w:val="auto"/>
        </w:rPr>
      </w:pPr>
    </w:p>
    <w:p>
      <w:pPr>
        <w:ind w:left="220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21" w:lineRule="exact"/>
        <w:rPr>
          <w:sz w:val="24"/>
          <w:szCs w:val="24"/>
          <w:color w:val="auto"/>
        </w:rPr>
      </w:pPr>
    </w:p>
    <w:p>
      <w:pPr>
        <w:jc w:val="both"/>
        <w:spacing w:after="0" w:line="288" w:lineRule="auto"/>
        <w:rPr>
          <w:sz w:val="20"/>
          <w:szCs w:val="20"/>
          <w:color w:val="auto"/>
        </w:rPr>
      </w:pPr>
      <w:r>
        <w:rPr>
          <w:rFonts w:ascii="Times New Roman" w:cs="Times New Roman" w:eastAsia="Times New Roman" w:hAnsi="Times New Roman"/>
          <w:sz w:val="21"/>
          <w:szCs w:val="21"/>
          <w:color w:val="auto"/>
        </w:rPr>
        <w:t xml:space="preserve">If the filing person has previously filed a statement on Schedule 13G to report the acquisition that is the subject of this Schedule 13D, and is filing this schedule because of §§ 240.13d-1(e), 240.13d-1(f) or 240.13d-1(g), check the following box. </w:t>
      </w:r>
      <w:r>
        <w:rPr>
          <w:sz w:val="1"/>
          <w:szCs w:val="1"/>
          <w:color w:val="auto"/>
        </w:rPr>
        <w:drawing>
          <wp:inline distT="0" distB="0" distL="0" distR="0">
            <wp:extent cx="128905" cy="128905"/>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p>
    <w:p>
      <w:pPr>
        <w:spacing w:after="0" w:line="156" w:lineRule="exact"/>
        <w:rPr>
          <w:sz w:val="24"/>
          <w:szCs w:val="24"/>
          <w:color w:val="auto"/>
        </w:rPr>
      </w:pPr>
    </w:p>
    <w:p>
      <w:pPr>
        <w:jc w:val="both"/>
        <w:spacing w:after="0" w:line="244" w:lineRule="auto"/>
        <w:rPr>
          <w:sz w:val="20"/>
          <w:szCs w:val="20"/>
          <w:color w:val="auto"/>
        </w:rPr>
      </w:pPr>
      <w:r>
        <w:rPr>
          <w:rFonts w:ascii="Times New Roman" w:cs="Times New Roman" w:eastAsia="Times New Roman" w:hAnsi="Times New Roman"/>
          <w:sz w:val="22"/>
          <w:szCs w:val="22"/>
          <w:color w:val="auto"/>
        </w:rPr>
        <w:t>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46355</wp:posOffset>
            </wp:positionV>
            <wp:extent cx="7157720" cy="3556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35560"/>
                    </a:xfrm>
                    <a:prstGeom prst="rect">
                      <a:avLst/>
                    </a:prstGeom>
                    <a:noFill/>
                  </pic:spPr>
                </pic:pic>
              </a:graphicData>
            </a:graphic>
          </wp:anchor>
        </w:drawing>
      </w:r>
    </w:p>
    <w:p>
      <w:pPr>
        <w:sectPr>
          <w:pgSz w:w="11900" w:h="16838" w:orient="portrait"/>
          <w:cols w:equalWidth="0" w:num="1">
            <w:col w:w="11240"/>
          </w:cols>
          <w:pgMar w:left="320" w:top="866" w:right="339" w:bottom="0" w:gutter="0" w:footer="0" w:header="0"/>
        </w:sectPr>
      </w:pPr>
    </w:p>
    <w:bookmarkStart w:id="1" w:name="page2"/>
    <w:bookmarkEnd w:id="1"/>
    <w:p>
      <w:pPr>
        <w:spacing w:after="0" w:line="32"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57720" cy="298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29845"/>
                    </a:xfrm>
                    <a:prstGeom prst="rect">
                      <a:avLst/>
                    </a:prstGeom>
                    <a:noFill/>
                  </pic:spPr>
                </pic:pic>
              </a:graphicData>
            </a:graphic>
          </wp:anchor>
        </w:drawing>
      </w: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Whitefort Capital Master Fund,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38" w:orient="portrait"/>
          <w:cols w:equalWidth="0" w:num="1">
            <w:col w:w="10099"/>
          </w:cols>
          <w:pgMar w:left="360" w:top="1440" w:right="1440" w:bottom="3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jc w:val="right"/>
        <w:ind w:right="7059"/>
        <w:spacing w:after="0"/>
        <w:rPr>
          <w:sz w:val="20"/>
          <w:szCs w:val="20"/>
          <w:color w:val="auto"/>
        </w:rPr>
      </w:pPr>
      <w:r>
        <w:rPr>
          <w:rFonts w:ascii="Times New Roman" w:cs="Times New Roman" w:eastAsia="Times New Roman" w:hAnsi="Times New Roman"/>
          <w:sz w:val="21"/>
          <w:szCs w:val="21"/>
          <w:color w:val="auto"/>
        </w:rPr>
        <w:t>CAYMAN ISLANDS</w:t>
      </w:r>
    </w:p>
    <w:p>
      <w:pPr>
        <w:spacing w:after="0" w:line="96" w:lineRule="exact"/>
        <w:rPr>
          <w:sz w:val="20"/>
          <w:szCs w:val="20"/>
          <w:color w:val="auto"/>
        </w:rPr>
      </w:pPr>
    </w:p>
    <w:p>
      <w:pPr>
        <w:jc w:val="right"/>
        <w:ind w:right="7039"/>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15,794,261.00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PN</w:t>
      </w:r>
    </w:p>
    <w:p>
      <w:pPr>
        <w:spacing w:after="0" w:line="200" w:lineRule="exact"/>
        <w:rPr>
          <w:sz w:val="20"/>
          <w:szCs w:val="20"/>
          <w:color w:val="auto"/>
        </w:rPr>
      </w:pPr>
    </w:p>
    <w:p>
      <w:pPr>
        <w:sectPr>
          <w:pgSz w:w="11900" w:h="16838" w:orient="portrait"/>
          <w:cols w:equalWidth="0" w:num="2">
            <w:col w:w="1060" w:space="60"/>
            <w:col w:w="8979"/>
          </w:cols>
          <w:pgMar w:left="360" w:top="1440" w:right="1440" w:bottom="3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5"/>
          <w:szCs w:val="25"/>
          <w:color w:val="auto"/>
        </w:rPr>
        <w:t>SCHEDULE 13D</w:t>
      </w:r>
    </w:p>
    <w:p>
      <w:pPr>
        <w:spacing w:after="0" w:line="30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ectPr>
          <w:pgSz w:w="11900" w:h="16838" w:orient="portrait"/>
          <w:cols w:equalWidth="0" w:num="1">
            <w:col w:w="10099"/>
          </w:cols>
          <w:pgMar w:left="360" w:top="1440" w:right="1440" w:bottom="30" w:gutter="0" w:footer="0" w:header="0"/>
          <w:type w:val="continuous"/>
        </w:sectPr>
      </w:pPr>
    </w:p>
    <w:p>
      <w:pPr>
        <w:spacing w:after="0" w:line="200" w:lineRule="exact"/>
        <w:rPr>
          <w:sz w:val="20"/>
          <w:szCs w:val="20"/>
          <w:color w:val="auto"/>
        </w:rPr>
      </w:pPr>
    </w:p>
    <w:p>
      <w:pPr>
        <w:spacing w:after="0" w:line="361" w:lineRule="exact"/>
        <w:rPr>
          <w:sz w:val="20"/>
          <w:szCs w:val="20"/>
          <w:color w:val="auto"/>
        </w:rPr>
      </w:pPr>
    </w:p>
    <w:p>
      <w:pPr>
        <w:ind w:left="1120" w:hanging="1112"/>
        <w:spacing w:after="0"/>
        <w:tabs>
          <w:tab w:leader="none" w:pos="1120" w:val="left"/>
        </w:tabs>
        <w:numPr>
          <w:ilvl w:val="0"/>
          <w:numId w:val="1"/>
        </w:numPr>
        <w:rPr>
          <w:rFonts w:ascii="Times New Roman" w:cs="Times New Roman" w:eastAsia="Times New Roman" w:hAnsi="Times New Roman"/>
          <w:sz w:val="21"/>
          <w:szCs w:val="21"/>
          <w:color w:val="auto"/>
        </w:rPr>
      </w:pPr>
      <w:r>
        <w:rPr>
          <w:rFonts w:ascii="Times New Roman" w:cs="Times New Roman" w:eastAsia="Times New Roman" w:hAnsi="Times New Roman"/>
          <w:sz w:val="21"/>
          <w:szCs w:val="21"/>
          <w:color w:val="auto"/>
        </w:rPr>
        <w:t>Name of reporting person</w:t>
      </w:r>
    </w:p>
    <w:p>
      <w:pPr>
        <w:sectPr>
          <w:pgSz w:w="11900" w:h="16838" w:orient="portrait"/>
          <w:cols w:equalWidth="0" w:num="1">
            <w:col w:w="10099"/>
          </w:cols>
          <w:pgMar w:left="360" w:top="1440" w:right="1440" w:bottom="30" w:gutter="0" w:footer="0" w:header="0"/>
          <w:type w:val="continuous"/>
        </w:sectPr>
      </w:pPr>
    </w:p>
    <w:bookmarkStart w:id="2" w:name="page3"/>
    <w:bookmarkEnd w:id="2"/>
    <w:p>
      <w:pPr>
        <w:spacing w:after="0" w:line="22"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Whitefort Capital GP, LLC</w:t>
      </w:r>
    </w:p>
    <w:p>
      <w:pPr>
        <w:spacing w:after="0" w:line="4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60" w:orient="portrait"/>
          <w:cols w:equalWidth="0" w:num="1">
            <w:col w:w="10099"/>
          </w:cols>
          <w:pgMar w:left="360" w:top="111"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27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15,794,261.00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ectPr>
          <w:pgSz w:w="11900" w:h="16860" w:orient="portrait"/>
          <w:cols w:equalWidth="0" w:num="2">
            <w:col w:w="1060" w:space="60"/>
            <w:col w:w="8979"/>
          </w:cols>
          <w:pgMar w:left="360" w:top="111"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Whitefort Capital Management, LP</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2"/>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27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pacing w:after="0" w:line="230" w:lineRule="exact"/>
        <w:rPr>
          <w:sz w:val="20"/>
          <w:szCs w:val="20"/>
          <w:color w:val="auto"/>
        </w:rPr>
      </w:pPr>
    </w:p>
    <w:p>
      <w:pPr>
        <w:ind w:left="1120" w:hanging="1112"/>
        <w:spacing w:after="0"/>
        <w:tabs>
          <w:tab w:leader="none" w:pos="11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Citizenship or place of organization</w:t>
      </w:r>
    </w:p>
    <w:p>
      <w:pPr>
        <w:sectPr>
          <w:pgSz w:w="11900" w:h="16860" w:orient="portrait"/>
          <w:cols w:equalWidth="0" w:num="1">
            <w:col w:w="10099"/>
          </w:cols>
          <w:pgMar w:left="360" w:top="111" w:right="1440" w:bottom="0" w:gutter="0" w:footer="0" w:header="0"/>
          <w:type w:val="continuous"/>
        </w:sectPr>
      </w:pPr>
    </w:p>
    <w:bookmarkStart w:id="3" w:name="page4"/>
    <w:bookmarkEnd w:id="3"/>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Times New Roman" w:cs="Times New Roman" w:eastAsia="Times New Roman" w:hAnsi="Times New Roman"/>
          <w:sz w:val="22"/>
          <w:szCs w:val="22"/>
          <w:color w:val="auto"/>
        </w:rPr>
        <w:t>DELAWARE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15,794,261.00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IA, PN</w:t>
      </w:r>
    </w:p>
    <w:p>
      <w:pPr>
        <w:spacing w:after="0" w:line="200" w:lineRule="exact"/>
        <w:rPr>
          <w:sz w:val="20"/>
          <w:szCs w:val="20"/>
          <w:color w:val="auto"/>
        </w:rPr>
      </w:pPr>
    </w:p>
    <w:p>
      <w:pPr>
        <w:sectPr>
          <w:pgSz w:w="11900" w:h="16838" w:orient="portrait"/>
          <w:cols w:equalWidth="0" w:num="2">
            <w:col w:w="1060" w:space="60"/>
            <w:col w:w="8979"/>
          </w:cols>
          <w:pgMar w:left="360" w:top="355"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Whitefort Capital Management GP, LLC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0"/>
          <w:szCs w:val="20"/>
          <w:color w:val="auto"/>
        </w:rPr>
      </w:pPr>
    </w:p>
    <w:p>
      <w:pPr>
        <w:ind w:left="1120" w:hanging="1112"/>
        <w:spacing w:after="0"/>
        <w:tabs>
          <w:tab w:leader="none" w:pos="1120" w:val="left"/>
        </w:tabs>
        <w:numPr>
          <w:ilvl w:val="0"/>
          <w:numId w:val="5"/>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ind w:left="1120" w:hanging="1112"/>
        <w:spacing w:after="0"/>
        <w:tabs>
          <w:tab w:leader="none" w:pos="11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ind w:left="1120"/>
        <w:spacing w:after="0"/>
        <w:rPr>
          <w:sz w:val="20"/>
          <w:szCs w:val="20"/>
          <w:color w:val="auto"/>
        </w:rPr>
      </w:pPr>
      <w:r>
        <w:rPr>
          <w:rFonts w:ascii="Times New Roman" w:cs="Times New Roman" w:eastAsia="Times New Roman" w:hAnsi="Times New Roman"/>
          <w:sz w:val="22"/>
          <w:szCs w:val="22"/>
          <w:color w:val="auto"/>
        </w:rPr>
        <w:t>AF</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disclosure of legal proceedings is required pursuant to Items 2(d) or 2(e)</w:t>
      </w:r>
    </w:p>
    <w:p>
      <w:pPr>
        <w:spacing w:after="0"/>
        <w:rPr>
          <w:sz w:val="20"/>
          <w:szCs w:val="20"/>
          <w:color w:val="auto"/>
        </w:rPr>
      </w:pPr>
      <w:r>
        <w:rPr>
          <w:rFonts w:ascii="Times New Roman" w:cs="Times New Roman" w:eastAsia="Times New Roman" w:hAnsi="Times New Roman"/>
          <w:sz w:val="22"/>
          <w:szCs w:val="22"/>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ind w:left="1120"/>
        <w:spacing w:after="0"/>
        <w:rPr>
          <w:sz w:val="20"/>
          <w:szCs w:val="20"/>
          <w:color w:val="auto"/>
        </w:rPr>
      </w:pPr>
      <w:r>
        <w:rPr>
          <w:rFonts w:ascii="Times New Roman" w:cs="Times New Roman" w:eastAsia="Times New Roman" w:hAnsi="Times New Roman"/>
          <w:sz w:val="22"/>
          <w:szCs w:val="22"/>
          <w:color w:val="auto"/>
        </w:rPr>
        <w:t>DELAWARE</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257"/>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w w:val="95"/>
              </w:rPr>
              <w:t>Sole Voting Power</w:t>
            </w:r>
          </w:p>
        </w:tc>
      </w:tr>
      <w:tr>
        <w:trPr>
          <w:trHeight w:val="243"/>
        </w:trPr>
        <w:tc>
          <w:tcPr>
            <w:tcW w:w="112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1940" w:type="dxa"/>
            <w:vAlign w:val="bottom"/>
          </w:tcPr>
          <w:p>
            <w:pPr>
              <w:jc w:val="right"/>
              <w:ind w:right="1672"/>
              <w:spacing w:after="0" w:line="243" w:lineRule="exact"/>
              <w:rPr>
                <w:sz w:val="20"/>
                <w:szCs w:val="20"/>
                <w:color w:val="auto"/>
              </w:rPr>
            </w:pPr>
            <w:r>
              <w:rPr>
                <w:rFonts w:ascii="Times New Roman" w:cs="Times New Roman" w:eastAsia="Times New Roman" w:hAnsi="Times New Roman"/>
                <w:sz w:val="22"/>
                <w:szCs w:val="22"/>
                <w:color w:val="auto"/>
              </w:rPr>
              <w:t>7</w:t>
            </w:r>
          </w:p>
        </w:tc>
      </w:tr>
      <w:tr>
        <w:trPr>
          <w:trHeight w:val="253"/>
        </w:trPr>
        <w:tc>
          <w:tcPr>
            <w:tcW w:w="112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1940" w:type="dxa"/>
            <w:vAlign w:val="bottom"/>
          </w:tcPr>
          <w:p>
            <w:pPr>
              <w:ind w:left="320"/>
              <w:spacing w:after="0"/>
              <w:rPr>
                <w:sz w:val="20"/>
                <w:szCs w:val="20"/>
                <w:color w:val="auto"/>
              </w:rPr>
            </w:pPr>
            <w:r>
              <w:rPr>
                <w:rFonts w:ascii="Times New Roman" w:cs="Times New Roman" w:eastAsia="Times New Roman" w:hAnsi="Times New Roman"/>
                <w:sz w:val="22"/>
                <w:szCs w:val="22"/>
                <w:color w:val="auto"/>
              </w:rPr>
              <w:t>0.00</w:t>
            </w:r>
          </w:p>
        </w:tc>
      </w:tr>
    </w:tbl>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9"/>
        </w:trPr>
        <w:tc>
          <w:tcPr>
            <w:tcW w:w="1040" w:type="dxa"/>
            <w:vAlign w:val="bottom"/>
          </w:tcPr>
          <w:p>
            <w:pPr>
              <w:spacing w:after="0" w:line="219" w:lineRule="exact"/>
              <w:rPr>
                <w:sz w:val="20"/>
                <w:szCs w:val="20"/>
                <w:color w:val="auto"/>
              </w:rPr>
            </w:pPr>
            <w:r>
              <w:rPr>
                <w:rFonts w:ascii="Times New Roman" w:cs="Times New Roman" w:eastAsia="Times New Roman" w:hAnsi="Times New Roman"/>
                <w:sz w:val="22"/>
                <w:szCs w:val="22"/>
                <w:color w:val="auto"/>
              </w:rPr>
              <w:t>Owned by</w:t>
            </w: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95"/>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040" w:type="dxa"/>
            <w:vAlign w:val="bottom"/>
            <w:vMerge w:val="continue"/>
          </w:tcPr>
          <w:p>
            <w:pPr>
              <w:spacing w:after="0"/>
              <w:rPr>
                <w:sz w:val="12"/>
                <w:szCs w:val="12"/>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8</w:t>
            </w:r>
          </w:p>
        </w:tc>
        <w:tc>
          <w:tcPr>
            <w:tcW w:w="0" w:type="dxa"/>
            <w:vAlign w:val="bottom"/>
          </w:tcPr>
          <w:p>
            <w:pPr>
              <w:spacing w:after="0"/>
              <w:rPr>
                <w:sz w:val="1"/>
                <w:szCs w:val="1"/>
                <w:color w:val="auto"/>
              </w:rPr>
            </w:pPr>
          </w:p>
        </w:tc>
      </w:tr>
      <w:tr>
        <w:trPr>
          <w:trHeight w:val="9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26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49"/>
        </w:trPr>
        <w:tc>
          <w:tcPr>
            <w:tcW w:w="1040" w:type="dxa"/>
            <w:vAlign w:val="bottom"/>
            <w:vMerge w:val="continue"/>
          </w:tcPr>
          <w:p>
            <w:pPr>
              <w:spacing w:after="0"/>
              <w:rPr>
                <w:sz w:val="12"/>
                <w:szCs w:val="12"/>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15,794,261.00</w:t>
            </w:r>
          </w:p>
        </w:tc>
        <w:tc>
          <w:tcPr>
            <w:tcW w:w="0" w:type="dxa"/>
            <w:vAlign w:val="bottom"/>
          </w:tcPr>
          <w:p>
            <w:pPr>
              <w:spacing w:after="0"/>
              <w:rPr>
                <w:sz w:val="1"/>
                <w:szCs w:val="1"/>
                <w:color w:val="auto"/>
              </w:rPr>
            </w:pPr>
          </w:p>
        </w:tc>
      </w:tr>
      <w:tr>
        <w:trPr>
          <w:trHeight w:val="134"/>
        </w:trPr>
        <w:tc>
          <w:tcPr>
            <w:tcW w:w="1040" w:type="dxa"/>
            <w:vAlign w:val="bottom"/>
            <w:vMerge w:val="restart"/>
          </w:tcPr>
          <w:p>
            <w:pPr>
              <w:spacing w:after="0" w:line="243" w:lineRule="exact"/>
              <w:rPr>
                <w:sz w:val="20"/>
                <w:szCs w:val="20"/>
                <w:color w:val="auto"/>
              </w:rPr>
            </w:pPr>
            <w:r>
              <w:rPr>
                <w:rFonts w:ascii="Times New Roman" w:cs="Times New Roman" w:eastAsia="Times New Roman" w:hAnsi="Times New Roman"/>
                <w:sz w:val="22"/>
                <w:szCs w:val="22"/>
                <w:color w:val="auto"/>
              </w:rPr>
              <w:t>Person</w:t>
            </w:r>
          </w:p>
        </w:tc>
        <w:tc>
          <w:tcPr>
            <w:tcW w:w="264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9"/>
        </w:trPr>
        <w:tc>
          <w:tcPr>
            <w:tcW w:w="1040" w:type="dxa"/>
            <w:vAlign w:val="bottom"/>
            <w:vMerge w:val="continue"/>
          </w:tcPr>
          <w:p>
            <w:pPr>
              <w:spacing w:after="0"/>
              <w:rPr>
                <w:sz w:val="9"/>
                <w:szCs w:val="9"/>
                <w:color w:val="auto"/>
              </w:rPr>
            </w:pPr>
          </w:p>
        </w:tc>
        <w:tc>
          <w:tcPr>
            <w:tcW w:w="2640" w:type="dxa"/>
            <w:vAlign w:val="bottom"/>
            <w:vMerge w:val="restart"/>
          </w:tcPr>
          <w:p>
            <w:pPr>
              <w:ind w:left="400"/>
              <w:spacing w:after="0"/>
              <w:rPr>
                <w:sz w:val="20"/>
                <w:szCs w:val="20"/>
                <w:color w:val="auto"/>
              </w:rPr>
            </w:pPr>
            <w:r>
              <w:rPr>
                <w:rFonts w:ascii="Times New Roman" w:cs="Times New Roman" w:eastAsia="Times New Roman" w:hAnsi="Times New Roman"/>
                <w:sz w:val="22"/>
                <w:szCs w:val="22"/>
                <w:color w:val="auto"/>
              </w:rPr>
              <w:t>Sole Dispositive Power</w:t>
            </w:r>
          </w:p>
        </w:tc>
        <w:tc>
          <w:tcPr>
            <w:tcW w:w="0" w:type="dxa"/>
            <w:vAlign w:val="bottom"/>
          </w:tcPr>
          <w:p>
            <w:pPr>
              <w:spacing w:after="0"/>
              <w:rPr>
                <w:sz w:val="1"/>
                <w:szCs w:val="1"/>
                <w:color w:val="auto"/>
              </w:rPr>
            </w:pPr>
          </w:p>
        </w:tc>
      </w:tr>
      <w:tr>
        <w:trPr>
          <w:trHeight w:val="148"/>
        </w:trPr>
        <w:tc>
          <w:tcPr>
            <w:tcW w:w="10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With:</w:t>
            </w:r>
          </w:p>
        </w:tc>
        <w:tc>
          <w:tcPr>
            <w:tcW w:w="2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34"/>
        </w:trPr>
        <w:tc>
          <w:tcPr>
            <w:tcW w:w="1040" w:type="dxa"/>
            <w:vAlign w:val="bottom"/>
            <w:vMerge w:val="continue"/>
          </w:tcPr>
          <w:p>
            <w:pPr>
              <w:spacing w:after="0"/>
              <w:rPr>
                <w:sz w:val="11"/>
                <w:szCs w:val="11"/>
                <w:color w:val="auto"/>
              </w:rPr>
            </w:pPr>
          </w:p>
        </w:tc>
        <w:tc>
          <w:tcPr>
            <w:tcW w:w="264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color w:val="auto"/>
              </w:rPr>
              <w:t>9</w:t>
            </w:r>
          </w:p>
        </w:tc>
        <w:tc>
          <w:tcPr>
            <w:tcW w:w="0" w:type="dxa"/>
            <w:vAlign w:val="bottom"/>
          </w:tcPr>
          <w:p>
            <w:pPr>
              <w:spacing w:after="0"/>
              <w:rPr>
                <w:sz w:val="1"/>
                <w:szCs w:val="1"/>
                <w:color w:val="auto"/>
              </w:rPr>
            </w:pPr>
          </w:p>
        </w:tc>
      </w:tr>
      <w:tr>
        <w:trPr>
          <w:trHeight w:val="109"/>
        </w:trPr>
        <w:tc>
          <w:tcPr>
            <w:tcW w:w="1040" w:type="dxa"/>
            <w:vAlign w:val="bottom"/>
          </w:tcPr>
          <w:p>
            <w:pPr>
              <w:spacing w:after="0"/>
              <w:rPr>
                <w:sz w:val="9"/>
                <w:szCs w:val="9"/>
                <w:color w:val="auto"/>
              </w:rPr>
            </w:pPr>
          </w:p>
        </w:tc>
        <w:tc>
          <w:tcPr>
            <w:tcW w:w="26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82"/>
        </w:trPr>
        <w:tc>
          <w:tcPr>
            <w:tcW w:w="1040" w:type="dxa"/>
            <w:vAlign w:val="bottom"/>
          </w:tcPr>
          <w:p>
            <w:pPr>
              <w:spacing w:after="0"/>
              <w:rPr>
                <w:sz w:val="24"/>
                <w:szCs w:val="24"/>
                <w:color w:val="auto"/>
              </w:rPr>
            </w:pPr>
          </w:p>
        </w:tc>
        <w:tc>
          <w:tcPr>
            <w:tcW w:w="2640" w:type="dxa"/>
            <w:vAlign w:val="bottom"/>
          </w:tcPr>
          <w:p>
            <w:pPr>
              <w:ind w:left="40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97"/>
        </w:trPr>
        <w:tc>
          <w:tcPr>
            <w:tcW w:w="1040" w:type="dxa"/>
            <w:vAlign w:val="bottom"/>
          </w:tcPr>
          <w:p>
            <w:pPr>
              <w:spacing w:after="0"/>
              <w:rPr>
                <w:sz w:val="24"/>
                <w:szCs w:val="24"/>
                <w:color w:val="auto"/>
              </w:rPr>
            </w:pPr>
          </w:p>
        </w:tc>
        <w:tc>
          <w:tcPr>
            <w:tcW w:w="2640" w:type="dxa"/>
            <w:vAlign w:val="bottom"/>
          </w:tcPr>
          <w:p>
            <w:pPr>
              <w:ind w:left="120"/>
              <w:spacing w:after="0"/>
              <w:rPr>
                <w:sz w:val="20"/>
                <w:szCs w:val="20"/>
                <w:color w:val="auto"/>
              </w:rPr>
            </w:pPr>
            <w:r>
              <w:rPr>
                <w:rFonts w:ascii="Times New Roman" w:cs="Times New Roman" w:eastAsia="Times New Roman" w:hAnsi="Times New Roman"/>
                <w:sz w:val="22"/>
                <w:szCs w:val="22"/>
                <w:color w:val="auto"/>
                <w:w w:val="97"/>
              </w:rPr>
              <w:t>10 Shared Dispositive Power</w:t>
            </w:r>
          </w:p>
        </w:tc>
        <w:tc>
          <w:tcPr>
            <w:tcW w:w="0" w:type="dxa"/>
            <w:vAlign w:val="bottom"/>
          </w:tcPr>
          <w:p>
            <w:pPr>
              <w:spacing w:after="0"/>
              <w:rPr>
                <w:sz w:val="1"/>
                <w:szCs w:val="1"/>
                <w:color w:val="auto"/>
              </w:rPr>
            </w:pPr>
          </w:p>
        </w:tc>
      </w:tr>
    </w:tbl>
    <w:p>
      <w:pPr>
        <w:sectPr>
          <w:pgSz w:w="11900" w:h="16838" w:orient="portrait"/>
          <w:cols w:equalWidth="0" w:num="1">
            <w:col w:w="10099"/>
          </w:cols>
          <w:pgMar w:left="360" w:top="355" w:right="1440" w:bottom="0" w:gutter="0" w:footer="0" w:header="0"/>
          <w:type w:val="continuous"/>
        </w:sectPr>
      </w:pPr>
    </w:p>
    <w:bookmarkStart w:id="4" w:name="page5"/>
    <w:bookmarkEnd w:id="4"/>
    <w:p>
      <w:pPr>
        <w:ind w:left="1440"/>
        <w:spacing w:after="0"/>
        <w:rPr>
          <w:sz w:val="20"/>
          <w:szCs w:val="20"/>
          <w:color w:val="auto"/>
        </w:rPr>
      </w:pPr>
      <w:r>
        <w:rPr>
          <w:rFonts w:ascii="Times New Roman" w:cs="Times New Roman" w:eastAsia="Times New Roman" w:hAnsi="Times New Roman"/>
          <w:sz w:val="22"/>
          <w:szCs w:val="22"/>
          <w:color w:val="auto"/>
        </w:rPr>
        <w:t>15,794,261.00</w:t>
      </w:r>
    </w:p>
    <w:p>
      <w:pPr>
        <w:spacing w:after="0" w:line="85"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ind w:left="1120"/>
        <w:spacing w:after="0"/>
        <w:rPr>
          <w:sz w:val="20"/>
          <w:szCs w:val="20"/>
          <w:color w:val="auto"/>
        </w:rPr>
      </w:pPr>
      <w:r>
        <w:rPr>
          <w:rFonts w:ascii="Times New Roman" w:cs="Times New Roman" w:eastAsia="Times New Roman" w:hAnsi="Times New Roman"/>
          <w:sz w:val="22"/>
          <w:szCs w:val="22"/>
          <w:color w:val="auto"/>
        </w:rPr>
        <w:t>15,794,261.00</w:t>
      </w:r>
    </w:p>
    <w:p>
      <w:pPr>
        <w:spacing w:after="0" w:line="19"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rPr>
          <w:sz w:val="20"/>
          <w:szCs w:val="20"/>
          <w:color w:val="auto"/>
        </w:rPr>
      </w:pPr>
      <w:r>
        <w:rPr>
          <w:rFonts w:ascii="Times New Roman" w:cs="Times New Roman" w:eastAsia="Times New Roman" w:hAnsi="Times New Roman"/>
          <w:sz w:val="22"/>
          <w:szCs w:val="22"/>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716915</wp:posOffset>
            </wp:positionH>
            <wp:positionV relativeFrom="paragraph">
              <wp:posOffset>12700</wp:posOffset>
            </wp:positionV>
            <wp:extent cx="128905" cy="1289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ind w:left="1120"/>
        <w:spacing w:after="0"/>
        <w:rPr>
          <w:sz w:val="20"/>
          <w:szCs w:val="20"/>
          <w:color w:val="auto"/>
        </w:rPr>
      </w:pPr>
      <w:r>
        <w:rPr>
          <w:rFonts w:ascii="Times New Roman" w:cs="Times New Roman" w:eastAsia="Times New Roman" w:hAnsi="Times New Roman"/>
          <w:sz w:val="22"/>
          <w:szCs w:val="22"/>
          <w:color w:val="auto"/>
        </w:rPr>
        <w:t>8.0 %</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ind w:left="1120"/>
        <w:spacing w:after="0"/>
        <w:rPr>
          <w:sz w:val="20"/>
          <w:szCs w:val="20"/>
          <w:color w:val="auto"/>
        </w:rPr>
      </w:pPr>
      <w:r>
        <w:rPr>
          <w:rFonts w:ascii="Times New Roman" w:cs="Times New Roman" w:eastAsia="Times New Roman" w:hAnsi="Times New Roman"/>
          <w:sz w:val="22"/>
          <w:szCs w:val="22"/>
          <w:color w:val="auto"/>
        </w:rPr>
        <w:t>OO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David Salanic</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ectPr>
          <w:pgSz w:w="11900" w:h="16838" w:orient="portrait"/>
          <w:cols w:equalWidth="0" w:num="1">
            <w:col w:w="10099"/>
          </w:cols>
          <w:pgMar w:left="360" w:top="112" w:right="1440" w:bottom="0" w:gutter="0" w:footer="0" w:header="0"/>
        </w:sectPr>
      </w:pPr>
    </w:p>
    <w:p>
      <w:pPr>
        <w:spacing w:after="0" w:line="12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2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FRANCE</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15,794,261.00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ectPr>
          <w:pgSz w:w="11900" w:h="16838" w:orient="portrait"/>
          <w:cols w:equalWidth="0" w:num="2">
            <w:col w:w="1060" w:space="60"/>
            <w:col w:w="8979"/>
          </w:cols>
          <w:pgMar w:left="360" w:top="112" w:right="1440" w:bottom="0" w:gutter="0" w:footer="0" w:header="0"/>
          <w:type w:val="continuous"/>
        </w:sectPr>
      </w:pPr>
    </w:p>
    <w:bookmarkStart w:id="5" w:name="page6"/>
    <w:bookmarkEnd w:id="5"/>
    <w:p>
      <w:pPr>
        <w:spacing w:after="0" w:line="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0"/>
          <w:szCs w:val="20"/>
          <w:color w:val="auto"/>
        </w:rPr>
      </w:pPr>
    </w:p>
    <w:p>
      <w:pPr>
        <w:spacing w:after="0" w:line="361"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 of reporting person</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Joseph Kaplan</w:t>
      </w:r>
    </w:p>
    <w:p>
      <w:pPr>
        <w:spacing w:after="0" w:line="20" w:lineRule="exact"/>
        <w:rPr>
          <w:sz w:val="20"/>
          <w:szCs w:val="20"/>
          <w:color w:val="auto"/>
        </w:rPr>
      </w:pPr>
    </w:p>
    <w:p>
      <w:pPr>
        <w:ind w:left="1120"/>
        <w:spacing w:after="0"/>
        <w:rPr>
          <w:sz w:val="20"/>
          <w:szCs w:val="20"/>
          <w:color w:val="auto"/>
        </w:rPr>
      </w:pPr>
      <w:r>
        <w:rPr>
          <w:rFonts w:ascii="Times New Roman" w:cs="Times New Roman" w:eastAsia="Times New Roman" w:hAnsi="Times New Roman"/>
          <w:sz w:val="21"/>
          <w:szCs w:val="21"/>
          <w:color w:val="auto"/>
        </w:rPr>
        <w:t>Check the appropriate box if a member of a Group (See Instructions)</w:t>
      </w:r>
    </w:p>
    <w:p>
      <w:pPr>
        <w:sectPr>
          <w:pgSz w:w="11900" w:h="16857" w:orient="portrait"/>
          <w:cols w:equalWidth="0" w:num="1">
            <w:col w:w="10099"/>
          </w:cols>
          <w:pgMar w:left="360" w:top="1094" w:right="1440" w:bottom="0" w:gutter="0" w:footer="0" w:header="0"/>
        </w:sectPr>
      </w:pPr>
    </w:p>
    <w:p>
      <w:pPr>
        <w:spacing w:after="0" w:line="13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2</w:t>
      </w:r>
    </w:p>
    <w:p>
      <w:pPr>
        <w:spacing w:after="0" w:line="200" w:lineRule="exact"/>
        <w:rPr>
          <w:sz w:val="20"/>
          <w:szCs w:val="20"/>
          <w:color w:val="auto"/>
        </w:rPr>
      </w:pPr>
    </w:p>
    <w:p>
      <w:pPr>
        <w:spacing w:after="0" w:line="22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3</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4</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5</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Number of</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Shares</w:t>
      </w:r>
    </w:p>
    <w:p>
      <w:pPr>
        <w:spacing w:after="0"/>
        <w:rPr>
          <w:sz w:val="20"/>
          <w:szCs w:val="20"/>
          <w:color w:val="auto"/>
        </w:rPr>
      </w:pPr>
      <w:r>
        <w:rPr>
          <w:rFonts w:ascii="Times New Roman" w:cs="Times New Roman" w:eastAsia="Times New Roman" w:hAnsi="Times New Roman"/>
          <w:sz w:val="21"/>
          <w:szCs w:val="21"/>
          <w:color w:val="auto"/>
        </w:rPr>
        <w:t>Beneficially</w:t>
      </w:r>
    </w:p>
    <w:p>
      <w:pPr>
        <w:spacing w:after="0" w:line="231" w:lineRule="auto"/>
        <w:rPr>
          <w:sz w:val="20"/>
          <w:szCs w:val="20"/>
          <w:color w:val="auto"/>
        </w:rPr>
      </w:pPr>
      <w:r>
        <w:rPr>
          <w:rFonts w:ascii="Times New Roman" w:cs="Times New Roman" w:eastAsia="Times New Roman" w:hAnsi="Times New Roman"/>
          <w:sz w:val="22"/>
          <w:szCs w:val="22"/>
          <w:color w:val="auto"/>
        </w:rPr>
        <w:t>Owned by</w:t>
      </w:r>
    </w:p>
    <w:p>
      <w:pPr>
        <w:spacing w:after="0" w:line="231" w:lineRule="auto"/>
        <w:rPr>
          <w:sz w:val="20"/>
          <w:szCs w:val="20"/>
          <w:color w:val="auto"/>
        </w:rPr>
      </w:pPr>
      <w:r>
        <w:rPr>
          <w:rFonts w:ascii="Times New Roman" w:cs="Times New Roman" w:eastAsia="Times New Roman" w:hAnsi="Times New Roman"/>
          <w:sz w:val="22"/>
          <w:szCs w:val="22"/>
          <w:color w:val="auto"/>
        </w:rPr>
        <w:t>Each</w:t>
      </w:r>
    </w:p>
    <w:p>
      <w:pPr>
        <w:spacing w:after="0" w:line="231" w:lineRule="auto"/>
        <w:rPr>
          <w:sz w:val="20"/>
          <w:szCs w:val="20"/>
          <w:color w:val="auto"/>
        </w:rPr>
      </w:pPr>
      <w:r>
        <w:rPr>
          <w:rFonts w:ascii="Times New Roman" w:cs="Times New Roman" w:eastAsia="Times New Roman" w:hAnsi="Times New Roman"/>
          <w:sz w:val="22"/>
          <w:szCs w:val="22"/>
          <w:color w:val="auto"/>
        </w:rPr>
        <w:t>Reporting</w:t>
      </w:r>
    </w:p>
    <w:p>
      <w:pPr>
        <w:spacing w:after="0" w:line="230" w:lineRule="auto"/>
        <w:rPr>
          <w:sz w:val="20"/>
          <w:szCs w:val="20"/>
          <w:color w:val="auto"/>
        </w:rPr>
      </w:pPr>
      <w:r>
        <w:rPr>
          <w:rFonts w:ascii="Times New Roman" w:cs="Times New Roman" w:eastAsia="Times New Roman" w:hAnsi="Times New Roman"/>
          <w:sz w:val="22"/>
          <w:szCs w:val="22"/>
          <w:color w:val="auto"/>
        </w:rPr>
        <w:t>Person</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With: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w:t>
      </w:r>
    </w:p>
    <w:p>
      <w:pPr>
        <w:spacing w:after="0" w:line="200" w:lineRule="exact"/>
        <w:rPr>
          <w:sz w:val="20"/>
          <w:szCs w:val="20"/>
          <w:color w:val="auto"/>
        </w:rPr>
      </w:pP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12</w:t>
      </w: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13</w:t>
      </w:r>
    </w:p>
    <w:p>
      <w:pPr>
        <w:spacing w:after="0" w:line="200" w:lineRule="exact"/>
        <w:rPr>
          <w:sz w:val="20"/>
          <w:szCs w:val="20"/>
          <w:color w:val="auto"/>
        </w:rPr>
      </w:pPr>
    </w:p>
    <w:p>
      <w:pPr>
        <w:spacing w:after="0" w:line="3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14</w:t>
      </w:r>
    </w:p>
    <w:p>
      <w:pPr>
        <w:spacing w:after="0" w:line="20" w:lineRule="exact"/>
        <w:rPr>
          <w:sz w:val="20"/>
          <w:szCs w:val="20"/>
          <w:color w:val="auto"/>
        </w:rPr>
      </w:pPr>
      <w:r>
        <w:rPr>
          <w:sz w:val="20"/>
          <w:szCs w:val="20"/>
          <w:color w:val="auto"/>
        </w:rPr>
        <w:br w:type="column"/>
      </w:r>
    </w:p>
    <w:p>
      <w:pPr>
        <w:spacing w:after="0" w:line="238"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spacing w:after="0" w:line="17" w:lineRule="exact"/>
        <w:rPr>
          <w:sz w:val="20"/>
          <w:szCs w:val="20"/>
          <w:color w:val="auto"/>
        </w:rPr>
      </w:pPr>
    </w:p>
    <w:p>
      <w:pPr>
        <w:spacing w:after="0"/>
        <w:rPr>
          <w:sz w:val="20"/>
          <w:szCs w:val="20"/>
          <w:color w:val="auto"/>
        </w:rPr>
      </w:pPr>
      <w:r>
        <w:rPr>
          <w:sz w:val="1"/>
          <w:szCs w:val="1"/>
          <w:color w:val="auto"/>
        </w:rPr>
        <w:drawing>
          <wp:inline distT="0" distB="0" distL="0" distR="0">
            <wp:extent cx="128905" cy="128905"/>
            <wp:effectExtent l="0" t="0" r="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SEC use only</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Source of funds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AF</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Check if disclosure of legal proceedings is required pursuant to Items 2(d) or 2(e)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165100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 or place of organization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UNITED STATES</w:t>
      </w:r>
    </w:p>
    <w:p>
      <w:pPr>
        <w:spacing w:after="0" w:line="85"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7</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Voting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8</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Sole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320"/>
        <w:spacing w:after="0"/>
        <w:rPr>
          <w:sz w:val="20"/>
          <w:szCs w:val="20"/>
          <w:color w:val="auto"/>
        </w:rPr>
      </w:pPr>
      <w:r>
        <w:rPr>
          <w:rFonts w:ascii="Times New Roman" w:cs="Times New Roman" w:eastAsia="Times New Roman" w:hAnsi="Times New Roman"/>
          <w:sz w:val="22"/>
          <w:szCs w:val="22"/>
          <w:color w:val="auto"/>
        </w:rPr>
        <w:t>0.00</w:t>
      </w:r>
    </w:p>
    <w:p>
      <w:pPr>
        <w:spacing w:after="0" w:line="2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22"/>
          <w:szCs w:val="22"/>
          <w:color w:val="auto"/>
        </w:rPr>
        <w:t>Shared Dispositive Power</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10</w:t>
      </w:r>
    </w:p>
    <w:p>
      <w:pPr>
        <w:ind w:left="320"/>
        <w:spacing w:after="0"/>
        <w:rPr>
          <w:sz w:val="20"/>
          <w:szCs w:val="20"/>
          <w:color w:val="auto"/>
        </w:rPr>
      </w:pPr>
      <w:r>
        <w:rPr>
          <w:rFonts w:ascii="Times New Roman" w:cs="Times New Roman" w:eastAsia="Times New Roman" w:hAnsi="Times New Roman"/>
          <w:sz w:val="22"/>
          <w:szCs w:val="22"/>
          <w:color w:val="auto"/>
        </w:rPr>
        <w:t>15,794,261.00</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15,794,261.00</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Check if the aggregate amount in Row (11) excludes certain shares (See Instructions)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172720</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0"/>
          <w:szCs w:val="20"/>
          <w:color w:val="auto"/>
        </w:rPr>
      </w:pPr>
    </w:p>
    <w:p>
      <w:pPr>
        <w:spacing w:after="0" w:line="28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Percent of class represented by amount in Row (11)</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8.0 %</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IN, HC</w:t>
      </w:r>
    </w:p>
    <w:p>
      <w:pPr>
        <w:spacing w:after="0" w:line="200" w:lineRule="exact"/>
        <w:rPr>
          <w:sz w:val="20"/>
          <w:szCs w:val="20"/>
          <w:color w:val="auto"/>
        </w:rPr>
      </w:pPr>
    </w:p>
    <w:p>
      <w:pPr>
        <w:sectPr>
          <w:pgSz w:w="11900" w:h="16857" w:orient="portrait"/>
          <w:cols w:equalWidth="0" w:num="2">
            <w:col w:w="1060" w:space="60"/>
            <w:col w:w="8979"/>
          </w:cols>
          <w:pgMar w:left="360" w:top="1094" w:right="1440" w:bottom="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13D</w:t>
      </w:r>
    </w:p>
    <w:p>
      <w:pPr>
        <w:spacing w:after="0" w:line="29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w:t>
      </w:r>
      <w:r>
        <w:rPr>
          <w:sz w:val="20"/>
          <w:szCs w:val="20"/>
          <w:color w:val="auto"/>
        </w:rPr>
        <w:tab/>
      </w:r>
      <w:r>
        <w:rPr>
          <w:rFonts w:ascii="Times New Roman" w:cs="Times New Roman" w:eastAsia="Times New Roman" w:hAnsi="Times New Roman"/>
          <w:sz w:val="21"/>
          <w:szCs w:val="21"/>
          <w:color w:val="auto"/>
        </w:rPr>
        <w:t>Security and Issuer</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40"/>
        <w:spacing w:after="0"/>
        <w:rPr>
          <w:sz w:val="20"/>
          <w:szCs w:val="20"/>
          <w:color w:val="auto"/>
        </w:rPr>
      </w:pPr>
      <w:r>
        <w:rPr>
          <w:rFonts w:ascii="Times New Roman" w:cs="Times New Roman" w:eastAsia="Times New Roman" w:hAnsi="Times New Roman"/>
          <w:sz w:val="21"/>
          <w:szCs w:val="21"/>
          <w:color w:val="auto"/>
        </w:rPr>
        <w:t>Common Shares, without par value</w:t>
      </w:r>
    </w:p>
    <w:p>
      <w:pPr>
        <w:spacing w:after="0" w:line="32"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40"/>
        <w:spacing w:after="0"/>
        <w:rPr>
          <w:sz w:val="20"/>
          <w:szCs w:val="20"/>
          <w:color w:val="auto"/>
        </w:rPr>
      </w:pPr>
      <w:r>
        <w:rPr>
          <w:rFonts w:ascii="Times New Roman" w:cs="Times New Roman" w:eastAsia="Times New Roman" w:hAnsi="Times New Roman"/>
          <w:sz w:val="22"/>
          <w:szCs w:val="22"/>
          <w:color w:val="auto"/>
        </w:rPr>
        <w:t>Arbutus Biopharma Corp</w:t>
      </w:r>
    </w:p>
    <w:p>
      <w:pPr>
        <w:sectPr>
          <w:pgSz w:w="11900" w:h="16857" w:orient="portrait"/>
          <w:cols w:equalWidth="0" w:num="1">
            <w:col w:w="10099"/>
          </w:cols>
          <w:pgMar w:left="360" w:top="1094" w:right="1440" w:bottom="0" w:gutter="0" w:footer="0" w:header="0"/>
          <w:type w:val="continuous"/>
        </w:sectPr>
      </w:pPr>
    </w:p>
    <w:bookmarkStart w:id="6" w:name="page7"/>
    <w:bookmarkEnd w:id="6"/>
    <w:p>
      <w:pPr>
        <w:ind w:left="940" w:hanging="932"/>
        <w:spacing w:after="0"/>
        <w:tabs>
          <w:tab w:leader="none" w:pos="940" w:val="left"/>
        </w:tabs>
        <w:numPr>
          <w:ilvl w:val="0"/>
          <w:numId w:val="7"/>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Address of Issuer's Principal Executive Offices:</w:t>
      </w:r>
    </w:p>
    <w:p>
      <w:pPr>
        <w:spacing w:after="0" w:line="23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701 VETERANS CIRCLE, WARMINSTER, PENNSYLVANIA , 18974.</w:t>
      </w:r>
    </w:p>
    <w:p>
      <w:pPr>
        <w:spacing w:after="0" w:line="4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3.</w:t>
      </w:r>
      <w:r>
        <w:rPr>
          <w:sz w:val="20"/>
          <w:szCs w:val="20"/>
          <w:color w:val="auto"/>
        </w:rPr>
        <w:tab/>
      </w:r>
      <w:r>
        <w:rPr>
          <w:rFonts w:ascii="Times New Roman" w:cs="Times New Roman" w:eastAsia="Times New Roman" w:hAnsi="Times New Roman"/>
          <w:sz w:val="21"/>
          <w:szCs w:val="21"/>
          <w:color w:val="auto"/>
        </w:rPr>
        <w:t>Source and Amount of Funds or Other Consideration</w:t>
      </w:r>
    </w:p>
    <w:p>
      <w:pPr>
        <w:spacing w:after="0" w:line="44" w:lineRule="exact"/>
        <w:rPr>
          <w:sz w:val="20"/>
          <w:szCs w:val="20"/>
          <w:color w:val="auto"/>
        </w:rPr>
      </w:pPr>
    </w:p>
    <w:p>
      <w:pPr>
        <w:ind w:left="940" w:right="100"/>
        <w:spacing w:after="0" w:line="239" w:lineRule="auto"/>
        <w:rPr>
          <w:sz w:val="20"/>
          <w:szCs w:val="20"/>
          <w:color w:val="auto"/>
        </w:rPr>
      </w:pPr>
      <w:r>
        <w:rPr>
          <w:rFonts w:ascii="Times New Roman" w:cs="Times New Roman" w:eastAsia="Times New Roman" w:hAnsi="Times New Roman"/>
          <w:sz w:val="22"/>
          <w:szCs w:val="22"/>
          <w:color w:val="auto"/>
        </w:rPr>
        <w:t>Item 3 is hereby amended and restated to read as follows: The securities of the Issuer purchased by Whitefort Master Fund were purchased with working capital (which may, at any given time, include margin loans made by brokerage firms in the ordinary course of business). The aggregate purchase price of the 15,794,261 Shares owned directly by Whitefort Master Fund is approximately $41,324,734, including brokerage commissions.</w:t>
      </w:r>
    </w:p>
    <w:p>
      <w:pPr>
        <w:spacing w:after="0" w:line="18"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5.</w:t>
      </w:r>
      <w:r>
        <w:rPr>
          <w:sz w:val="20"/>
          <w:szCs w:val="20"/>
          <w:color w:val="auto"/>
        </w:rPr>
        <w:tab/>
      </w:r>
      <w:r>
        <w:rPr>
          <w:rFonts w:ascii="Times New Roman" w:cs="Times New Roman" w:eastAsia="Times New Roman" w:hAnsi="Times New Roman"/>
          <w:sz w:val="21"/>
          <w:szCs w:val="21"/>
          <w:color w:val="auto"/>
        </w:rPr>
        <w:t>Interest in Securities of the Issuer</w:t>
      </w:r>
    </w:p>
    <w:p>
      <w:pPr>
        <w:spacing w:after="0" w:line="44" w:lineRule="exact"/>
        <w:rPr>
          <w:sz w:val="20"/>
          <w:szCs w:val="20"/>
          <w:color w:val="auto"/>
        </w:rPr>
      </w:pPr>
    </w:p>
    <w:p>
      <w:pPr>
        <w:ind w:left="940" w:right="120"/>
        <w:spacing w:after="0" w:line="244" w:lineRule="auto"/>
        <w:rPr>
          <w:sz w:val="20"/>
          <w:szCs w:val="20"/>
          <w:color w:val="auto"/>
        </w:rPr>
      </w:pPr>
      <w:r>
        <w:rPr>
          <w:rFonts w:ascii="Times New Roman" w:cs="Times New Roman" w:eastAsia="Times New Roman" w:hAnsi="Times New Roman"/>
          <w:sz w:val="21"/>
          <w:szCs w:val="21"/>
          <w:color w:val="auto"/>
        </w:rPr>
        <w:t>Item 5(a) is hereby amended and restated to read as follows: The aggregate percentage of Shares reported owned by each person named herein is based upon 196,939,679 Shares outstanding as of March 30, 2026, which is the total number of Shares outstanding as reported in the Issuer's definitive proxy statement on Schedule 14A filed with the Securities and Exchange Commission on April 14, 2026. As of the date hereof, Whitefort Master Fund beneficially owns 15,794,261 Shares, constituting approximately 8.0% of the Shares outstanding. Whitefort Master GP, as the general partner of Whitefort Master Fund, may be deemed to beneficially own the 15,794,261 Shares owned by Whitefort Master Fund, constituting approximately 8.0% of the Shares outstanding. Whitefort Management, as the investment manager of Whitefort Master Fund, may be deemed to beneficially own the 15,794,261 Shares owned by</w:t>
      </w:r>
    </w:p>
    <w:p>
      <w:pPr>
        <w:spacing w:after="0" w:line="4" w:lineRule="exact"/>
        <w:rPr>
          <w:sz w:val="20"/>
          <w:szCs w:val="20"/>
          <w:color w:val="auto"/>
        </w:rPr>
      </w:pPr>
    </w:p>
    <w:p>
      <w:pPr>
        <w:ind w:left="940" w:right="260" w:hanging="932"/>
        <w:spacing w:after="0" w:line="211" w:lineRule="auto"/>
        <w:tabs>
          <w:tab w:leader="none" w:pos="940" w:val="left"/>
        </w:tabs>
        <w:numPr>
          <w:ilvl w:val="0"/>
          <w:numId w:val="8"/>
        </w:numPr>
        <w:rPr>
          <w:rFonts w:ascii="Times New Roman" w:cs="Times New Roman" w:eastAsia="Times New Roman" w:hAnsi="Times New Roman"/>
          <w:sz w:val="43"/>
          <w:szCs w:val="43"/>
          <w:color w:val="auto"/>
          <w:vertAlign w:val="subscript"/>
        </w:rPr>
      </w:pPr>
      <w:r>
        <w:rPr>
          <w:rFonts w:ascii="Times New Roman" w:cs="Times New Roman" w:eastAsia="Times New Roman" w:hAnsi="Times New Roman"/>
          <w:sz w:val="22"/>
          <w:szCs w:val="22"/>
          <w:color w:val="auto"/>
        </w:rPr>
        <w:t>Whitefort Master Fund, constituting approximately 8.0% of the Shares outstanding. Whitefort GP, as the general partner of Whitefort Management, may be deemed to beneficially own the 15,794,261 Shares owned by Whitefort Master Fund, constituting approximately 8.0% of the Shares outstanding. Each of Messrs. Salanic and Kaplan, as a Co-Managing Partner of Whitefort Management and a Co-Managing Member of each of Whitefort Master GP and Whitefort GP, may be deemed to beneficially own the 15,794,261 Shares owned by Whitefort Master Fund, constituting approximately 8.0% of the Shares outstanding. The filing of this Schedule 13D shall not be deemed an admission that the Reporting Persons are, for purposes of Section 13(d) of the Securities Exchange Act of 1934, as amended, the beneficial owners of any securities of the Issuer he or it does not directly own. Each of the Reporting Persons specifically disclaims beneficial ownership of the securities reported herein that he or it does not directly own.</w:t>
      </w:r>
    </w:p>
    <w:p>
      <w:pPr>
        <w:spacing w:after="0" w:line="24" w:lineRule="exact"/>
        <w:rPr>
          <w:sz w:val="20"/>
          <w:szCs w:val="20"/>
          <w:color w:val="auto"/>
        </w:rPr>
      </w:pPr>
    </w:p>
    <w:p>
      <w:pPr>
        <w:ind w:left="940" w:right="300"/>
        <w:spacing w:after="0" w:line="253" w:lineRule="auto"/>
        <w:rPr>
          <w:sz w:val="20"/>
          <w:szCs w:val="20"/>
          <w:color w:val="auto"/>
        </w:rPr>
      </w:pPr>
      <w:r>
        <w:rPr>
          <w:rFonts w:ascii="Times New Roman" w:cs="Times New Roman" w:eastAsia="Times New Roman" w:hAnsi="Times New Roman"/>
          <w:sz w:val="21"/>
          <w:szCs w:val="21"/>
          <w:color w:val="auto"/>
        </w:rPr>
        <w:t>Item 5(c) is hereby amended and restated to read as follows: The transactions in securities of the Issuer by the Reporting Persons since the filing of Amendment No. 3 by the Reporting Persons are set forth in Exhibit 1 and are</w:t>
      </w:r>
    </w:p>
    <w:p>
      <w:pPr>
        <w:spacing w:after="0" w:line="1" w:lineRule="exact"/>
        <w:rPr>
          <w:sz w:val="20"/>
          <w:szCs w:val="20"/>
          <w:color w:val="auto"/>
        </w:rPr>
      </w:pPr>
    </w:p>
    <w:p>
      <w:pPr>
        <w:ind w:left="940" w:right="140" w:hanging="932"/>
        <w:spacing w:after="0" w:line="235" w:lineRule="auto"/>
        <w:tabs>
          <w:tab w:leader="none" w:pos="940" w:val="left"/>
        </w:tabs>
        <w:numPr>
          <w:ilvl w:val="0"/>
          <w:numId w:val="9"/>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incorporated herein by reference. Except for the swap transaction on April 27, 2026, the counterparty of which was Nomura Global Financial Products Inc. ("Nomura"), and the sale of Shares on the same date, all of such transactions were effected in the open market.</w:t>
      </w:r>
    </w:p>
    <w:p>
      <w:pPr>
        <w:spacing w:after="0" w:line="16"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6.</w:t>
      </w:r>
      <w:r>
        <w:rPr>
          <w:sz w:val="20"/>
          <w:szCs w:val="20"/>
          <w:color w:val="auto"/>
        </w:rPr>
        <w:tab/>
      </w:r>
      <w:r>
        <w:rPr>
          <w:rFonts w:ascii="Times New Roman" w:cs="Times New Roman" w:eastAsia="Times New Roman" w:hAnsi="Times New Roman"/>
          <w:sz w:val="21"/>
          <w:szCs w:val="21"/>
          <w:color w:val="auto"/>
        </w:rPr>
        <w:t>Contracts, Arrangements, Understandings or Relationships With Respect to Securities of the Issuer</w:t>
      </w:r>
    </w:p>
    <w:p>
      <w:pPr>
        <w:spacing w:after="0" w:line="44" w:lineRule="exact"/>
        <w:rPr>
          <w:sz w:val="20"/>
          <w:szCs w:val="20"/>
          <w:color w:val="auto"/>
        </w:rPr>
      </w:pPr>
    </w:p>
    <w:p>
      <w:pPr>
        <w:ind w:left="940"/>
        <w:spacing w:after="0" w:line="249" w:lineRule="auto"/>
        <w:rPr>
          <w:sz w:val="20"/>
          <w:szCs w:val="20"/>
          <w:color w:val="auto"/>
        </w:rPr>
      </w:pPr>
      <w:r>
        <w:rPr>
          <w:rFonts w:ascii="Times New Roman" w:cs="Times New Roman" w:eastAsia="Times New Roman" w:hAnsi="Times New Roman"/>
          <w:sz w:val="21"/>
          <w:szCs w:val="21"/>
          <w:color w:val="auto"/>
        </w:rPr>
        <w:t>Item 6 is hereby amended to add the following: Whitefort Master Fund has entered into a certain cash-settled total return swap agreement with Nomura as the counterparty (the "Swap Agreement"). Whitefort Master Fund's swap with Nomura constitutes economic exposure to an aggregate of 3,500,000 notional Shares, representing approximately</w:t>
      </w:r>
    </w:p>
    <w:p>
      <w:pPr>
        <w:spacing w:after="0" w:line="1" w:lineRule="exact"/>
        <w:rPr>
          <w:sz w:val="20"/>
          <w:szCs w:val="20"/>
          <w:color w:val="auto"/>
        </w:rPr>
      </w:pPr>
    </w:p>
    <w:p>
      <w:pPr>
        <w:ind w:left="940" w:right="80"/>
        <w:spacing w:after="0" w:line="232" w:lineRule="auto"/>
        <w:rPr>
          <w:sz w:val="20"/>
          <w:szCs w:val="20"/>
          <w:color w:val="auto"/>
        </w:rPr>
      </w:pPr>
      <w:r>
        <w:rPr>
          <w:rFonts w:ascii="Times New Roman" w:cs="Times New Roman" w:eastAsia="Times New Roman" w:hAnsi="Times New Roman"/>
          <w:sz w:val="22"/>
          <w:szCs w:val="22"/>
          <w:color w:val="auto"/>
        </w:rPr>
        <w:t>1.8% of the outstanding Shares, and has a maturity date of October 29, 2029 and a reference price of $4.2800. The Swap Agreement provides Whitefort Master Fund with economic results that are comparable to the economic results of ownership but does not provide it with the power to vote or direct the voting or dispose of or direct the disposition of the Shares that are the subject of the Swap Agreement (such shares, the "Subject Shares"). Taking into account the Subject Shares, Whitefort Master Fund has economic exposure to an aggregate of 19,294,261 Shares, representing approximately 9.8% of the outstanding Shares. The Reporting Persons disclaim beneficial ownership of the Subject Shares.</w:t>
      </w:r>
    </w:p>
    <w:p>
      <w:pPr>
        <w:spacing w:after="0" w:line="19"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7.</w:t>
      </w:r>
      <w:r>
        <w:rPr>
          <w:sz w:val="20"/>
          <w:szCs w:val="20"/>
          <w:color w:val="auto"/>
        </w:rPr>
        <w:tab/>
      </w:r>
      <w:r>
        <w:rPr>
          <w:rFonts w:ascii="Times New Roman" w:cs="Times New Roman" w:eastAsia="Times New Roman" w:hAnsi="Times New Roman"/>
          <w:sz w:val="21"/>
          <w:szCs w:val="21"/>
          <w:color w:val="auto"/>
        </w:rPr>
        <w:t>Material to be Filed as Exhibits.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2"/>
          <w:szCs w:val="22"/>
          <w:color w:val="auto"/>
        </w:rPr>
        <w:t>Item 7 is hereby amended to add the following exhibit: 1 - Transactions in Securities.</w:t>
      </w:r>
    </w:p>
    <w:p>
      <w:pPr>
        <w:spacing w:after="0" w:line="314" w:lineRule="exact"/>
        <w:rPr>
          <w:sz w:val="20"/>
          <w:szCs w:val="20"/>
          <w:color w:val="auto"/>
        </w:rPr>
      </w:pPr>
    </w:p>
    <w:p>
      <w:pPr>
        <w:ind w:left="220"/>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48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ectPr>
          <w:pgSz w:w="11900" w:h="16838" w:orient="portrait"/>
          <w:cols w:equalWidth="0" w:num="1">
            <w:col w:w="11140"/>
          </w:cols>
          <w:pgMar w:left="360" w:top="111" w:right="399" w:bottom="0" w:gutter="0" w:footer="0" w:header="0"/>
        </w:sectPr>
      </w:pPr>
    </w:p>
    <w:p>
      <w:pPr>
        <w:spacing w:after="0" w:line="307" w:lineRule="exact"/>
        <w:rPr>
          <w:sz w:val="20"/>
          <w:szCs w:val="20"/>
          <w:color w:val="auto"/>
        </w:rPr>
      </w:pPr>
    </w:p>
    <w:p>
      <w:pPr>
        <w:ind w:left="3220"/>
        <w:spacing w:after="0"/>
        <w:rPr>
          <w:sz w:val="20"/>
          <w:szCs w:val="20"/>
          <w:color w:val="auto"/>
        </w:rPr>
      </w:pPr>
      <w:r>
        <w:rPr>
          <w:rFonts w:ascii="Times New Roman" w:cs="Times New Roman" w:eastAsia="Times New Roman" w:hAnsi="Times New Roman"/>
          <w:sz w:val="22"/>
          <w:szCs w:val="22"/>
          <w:color w:val="auto"/>
        </w:rPr>
        <w:t>Whitefort Capital Master Fund, LP</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Signature:</w:t>
      </w:r>
    </w:p>
    <w:p>
      <w:pPr>
        <w:spacing w:after="0" w:line="166"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1"/>
          <w:szCs w:val="21"/>
          <w:color w:val="auto"/>
        </w:rPr>
        <w:t>Name/Title:</w:t>
      </w:r>
    </w:p>
    <w:p>
      <w:pPr>
        <w:spacing w:after="0" w:line="177" w:lineRule="exact"/>
        <w:rPr>
          <w:sz w:val="20"/>
          <w:szCs w:val="20"/>
          <w:color w:val="auto"/>
        </w:rPr>
      </w:pPr>
    </w:p>
    <w:p>
      <w:pPr>
        <w:ind w:left="5660"/>
        <w:spacing w:after="0"/>
        <w:rPr>
          <w:sz w:val="20"/>
          <w:szCs w:val="20"/>
          <w:color w:val="auto"/>
        </w:rPr>
      </w:pPr>
      <w:r>
        <w:rPr>
          <w:rFonts w:ascii="Times New Roman" w:cs="Times New Roman" w:eastAsia="Times New Roman" w:hAnsi="Times New Roman"/>
          <w:sz w:val="22"/>
          <w:szCs w:val="22"/>
          <w:color w:val="auto"/>
        </w:rPr>
        <w:t>Date:</w:t>
      </w:r>
    </w:p>
    <w:p>
      <w:pPr>
        <w:spacing w:after="0" w:line="152" w:lineRule="exact"/>
        <w:rPr>
          <w:sz w:val="20"/>
          <w:szCs w:val="20"/>
          <w:color w:val="auto"/>
        </w:rPr>
      </w:pPr>
    </w:p>
    <w:p>
      <w:pPr>
        <w:ind w:left="2540"/>
        <w:spacing w:after="0"/>
        <w:rPr>
          <w:sz w:val="20"/>
          <w:szCs w:val="20"/>
          <w:color w:val="auto"/>
        </w:rPr>
      </w:pPr>
      <w:r>
        <w:rPr>
          <w:rFonts w:ascii="Times New Roman" w:cs="Times New Roman" w:eastAsia="Times New Roman" w:hAnsi="Times New Roman"/>
          <w:sz w:val="22"/>
          <w:szCs w:val="22"/>
          <w:color w:val="auto"/>
        </w:rPr>
        <w:t>Whitefort Capital GP, LLC</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David Salanic</w:t>
      </w:r>
    </w:p>
    <w:p>
      <w:pPr>
        <w:spacing w:after="0" w:line="4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1"/>
          <w:szCs w:val="21"/>
          <w:color w:val="auto"/>
        </w:rPr>
        <w:t>David Salanic, Co-Managing Member of Whitefort Capital GP, LLC, its General Partner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 Joseph Kaplan</w:t>
      </w:r>
    </w:p>
    <w:p>
      <w:pPr>
        <w:spacing w:after="0" w:line="44" w:lineRule="exact"/>
        <w:rPr>
          <w:sz w:val="20"/>
          <w:szCs w:val="20"/>
          <w:color w:val="auto"/>
        </w:rPr>
      </w:pPr>
    </w:p>
    <w:p>
      <w:pPr>
        <w:ind w:right="320"/>
        <w:spacing w:after="0" w:line="268" w:lineRule="auto"/>
        <w:rPr>
          <w:sz w:val="20"/>
          <w:szCs w:val="20"/>
          <w:color w:val="auto"/>
        </w:rPr>
      </w:pPr>
      <w:r>
        <w:rPr>
          <w:rFonts w:ascii="Times New Roman" w:cs="Times New Roman" w:eastAsia="Times New Roman" w:hAnsi="Times New Roman"/>
          <w:sz w:val="21"/>
          <w:szCs w:val="21"/>
          <w:color w:val="auto"/>
        </w:rPr>
        <w:t>Joseph Kaplan, Co-Managing Member of Whitefort Capital GP, LLC, its General Partner</w:t>
      </w:r>
    </w:p>
    <w:p>
      <w:pPr>
        <w:spacing w:after="0" w:line="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04/28/2026</w:t>
      </w:r>
    </w:p>
    <w:p>
      <w:pPr>
        <w:spacing w:after="0" w:line="556" w:lineRule="exact"/>
        <w:rPr>
          <w:sz w:val="20"/>
          <w:szCs w:val="20"/>
          <w:color w:val="auto"/>
        </w:rPr>
      </w:pPr>
    </w:p>
    <w:p>
      <w:pPr>
        <w:sectPr>
          <w:pgSz w:w="11900" w:h="16838" w:orient="portrait"/>
          <w:cols w:equalWidth="0" w:num="2">
            <w:col w:w="6680" w:space="60"/>
            <w:col w:w="4400"/>
          </w:cols>
          <w:pgMar w:left="360" w:top="111" w:right="399" w:bottom="0" w:gutter="0" w:footer="0" w:header="0"/>
          <w:type w:val="continuous"/>
        </w:sectPr>
      </w:pPr>
    </w:p>
    <w:p>
      <w:pPr>
        <w:ind w:left="4600"/>
        <w:spacing w:after="0"/>
        <w:tabs>
          <w:tab w:leader="none" w:pos="56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Salanic</w:t>
      </w:r>
    </w:p>
    <w:p>
      <w:pPr>
        <w:sectPr>
          <w:pgSz w:w="11900" w:h="16838" w:orient="portrait"/>
          <w:cols w:equalWidth="0" w:num="1">
            <w:col w:w="11140"/>
          </w:cols>
          <w:pgMar w:left="360" w:top="111" w:right="399" w:bottom="0" w:gutter="0" w:footer="0" w:header="0"/>
          <w:type w:val="continuous"/>
        </w:sectPr>
      </w:pPr>
    </w:p>
    <w:bookmarkStart w:id="7" w:name="page8"/>
    <w:bookmarkEnd w:id="7"/>
    <w:p>
      <w:pPr>
        <w:ind w:left="3520"/>
        <w:spacing w:after="0"/>
        <w:rPr>
          <w:sz w:val="20"/>
          <w:szCs w:val="20"/>
          <w:color w:val="auto"/>
        </w:rPr>
      </w:pPr>
      <w:r>
        <w:rPr>
          <w:rFonts w:ascii="Times New Roman" w:cs="Times New Roman" w:eastAsia="Times New Roman" w:hAnsi="Times New Roman"/>
          <w:sz w:val="22"/>
          <w:szCs w:val="22"/>
          <w:color w:val="auto"/>
        </w:rPr>
        <w:t>Name/Title: David Salanic, Co-Managing Member</w:t>
      </w:r>
    </w:p>
    <w:p>
      <w:pPr>
        <w:spacing w:after="0" w:line="45"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Kaplan</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Name/Title: Joseph Kaplan, Co-Managing Member</w:t>
      </w:r>
    </w:p>
    <w:p>
      <w:pPr>
        <w:spacing w:after="0" w:line="56"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2160"/>
        <w:spacing w:after="0"/>
        <w:rPr>
          <w:sz w:val="20"/>
          <w:szCs w:val="20"/>
          <w:color w:val="auto"/>
        </w:rPr>
      </w:pPr>
      <w:r>
        <w:rPr>
          <w:rFonts w:ascii="Times New Roman" w:cs="Times New Roman" w:eastAsia="Times New Roman" w:hAnsi="Times New Roman"/>
          <w:sz w:val="22"/>
          <w:szCs w:val="22"/>
          <w:color w:val="auto"/>
        </w:rPr>
        <w:t>Whitefort Capital Management, LP</w:t>
      </w:r>
    </w:p>
    <w:p>
      <w:pPr>
        <w:spacing w:after="0" w:line="152"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Salanic</w:t>
      </w:r>
    </w:p>
    <w:p>
      <w:pPr>
        <w:spacing w:after="0" w:line="44"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22"/>
          <w:szCs w:val="22"/>
          <w:color w:val="auto"/>
        </w:rPr>
        <w:t>Name/Title: David Salanic, Co-Managing Partner</w:t>
      </w:r>
    </w:p>
    <w:p>
      <w:pPr>
        <w:spacing w:after="0" w:line="44" w:lineRule="exact"/>
        <w:rPr>
          <w:sz w:val="20"/>
          <w:szCs w:val="20"/>
          <w:color w:val="auto"/>
        </w:rPr>
      </w:pPr>
    </w:p>
    <w:p>
      <w:pPr>
        <w:ind w:left="3420"/>
        <w:spacing w:after="0"/>
        <w:tabs>
          <w:tab w:leader="none" w:pos="448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Kaplan</w:t>
      </w:r>
    </w:p>
    <w:p>
      <w:pPr>
        <w:spacing w:after="0" w:line="44" w:lineRule="exact"/>
        <w:rPr>
          <w:sz w:val="20"/>
          <w:szCs w:val="20"/>
          <w:color w:val="auto"/>
        </w:rPr>
      </w:pPr>
    </w:p>
    <w:p>
      <w:pPr>
        <w:ind w:left="3460"/>
        <w:spacing w:after="0"/>
        <w:rPr>
          <w:sz w:val="20"/>
          <w:szCs w:val="20"/>
          <w:color w:val="auto"/>
        </w:rPr>
      </w:pPr>
      <w:r>
        <w:rPr>
          <w:rFonts w:ascii="Times New Roman" w:cs="Times New Roman" w:eastAsia="Times New Roman" w:hAnsi="Times New Roman"/>
          <w:sz w:val="22"/>
          <w:szCs w:val="22"/>
          <w:color w:val="auto"/>
        </w:rPr>
        <w:t>Name/Title: Joseph Kaplan, Co-Managing Partner</w:t>
      </w:r>
    </w:p>
    <w:p>
      <w:pPr>
        <w:spacing w:after="0" w:line="44" w:lineRule="exact"/>
        <w:rPr>
          <w:sz w:val="20"/>
          <w:szCs w:val="20"/>
          <w:color w:val="auto"/>
        </w:rPr>
      </w:pPr>
    </w:p>
    <w:p>
      <w:pPr>
        <w:ind w:left="3460"/>
        <w:spacing w:after="0"/>
        <w:tabs>
          <w:tab w:leader="none" w:pos="452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2620"/>
        <w:spacing w:after="0"/>
        <w:rPr>
          <w:sz w:val="20"/>
          <w:szCs w:val="20"/>
          <w:color w:val="auto"/>
        </w:rPr>
      </w:pPr>
      <w:r>
        <w:rPr>
          <w:rFonts w:ascii="Times New Roman" w:cs="Times New Roman" w:eastAsia="Times New Roman" w:hAnsi="Times New Roman"/>
          <w:sz w:val="22"/>
          <w:szCs w:val="22"/>
          <w:color w:val="auto"/>
        </w:rPr>
        <w:t>Whitefort Capital Management GP, LLC</w:t>
      </w:r>
    </w:p>
    <w:p>
      <w:pPr>
        <w:spacing w:after="0" w:line="152"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Salanic</w:t>
      </w:r>
    </w:p>
    <w:p>
      <w:pPr>
        <w:spacing w:after="0" w:line="44" w:lineRule="exact"/>
        <w:rPr>
          <w:sz w:val="20"/>
          <w:szCs w:val="20"/>
          <w:color w:val="auto"/>
        </w:rPr>
      </w:pPr>
    </w:p>
    <w:p>
      <w:pPr>
        <w:ind w:left="3520"/>
        <w:spacing w:after="0"/>
        <w:rPr>
          <w:sz w:val="20"/>
          <w:szCs w:val="20"/>
          <w:color w:val="auto"/>
        </w:rPr>
      </w:pPr>
      <w:r>
        <w:rPr>
          <w:rFonts w:ascii="Times New Roman" w:cs="Times New Roman" w:eastAsia="Times New Roman" w:hAnsi="Times New Roman"/>
          <w:sz w:val="22"/>
          <w:szCs w:val="22"/>
          <w:color w:val="auto"/>
        </w:rPr>
        <w:t>Name/Title: David Salanic, Co-Managing Member</w:t>
      </w:r>
    </w:p>
    <w:p>
      <w:pPr>
        <w:spacing w:after="0" w:line="44" w:lineRule="exact"/>
        <w:rPr>
          <w:sz w:val="20"/>
          <w:szCs w:val="20"/>
          <w:color w:val="auto"/>
        </w:rPr>
      </w:pPr>
    </w:p>
    <w:p>
      <w:pPr>
        <w:ind w:left="3520"/>
        <w:spacing w:after="0"/>
        <w:tabs>
          <w:tab w:leader="none" w:pos="46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Kaplan</w:t>
      </w:r>
    </w:p>
    <w:p>
      <w:pPr>
        <w:spacing w:after="0" w:line="44" w:lineRule="exact"/>
        <w:rPr>
          <w:sz w:val="20"/>
          <w:szCs w:val="20"/>
          <w:color w:val="auto"/>
        </w:rPr>
      </w:pPr>
    </w:p>
    <w:p>
      <w:pPr>
        <w:ind w:left="3560"/>
        <w:spacing w:after="0"/>
        <w:rPr>
          <w:sz w:val="20"/>
          <w:szCs w:val="20"/>
          <w:color w:val="auto"/>
        </w:rPr>
      </w:pPr>
      <w:r>
        <w:rPr>
          <w:rFonts w:ascii="Times New Roman" w:cs="Times New Roman" w:eastAsia="Times New Roman" w:hAnsi="Times New Roman"/>
          <w:sz w:val="21"/>
          <w:szCs w:val="21"/>
          <w:color w:val="auto"/>
        </w:rPr>
        <w:t>Name/Title: Joseph Kaplan, Co-Managing Member</w:t>
      </w:r>
    </w:p>
    <w:p>
      <w:pPr>
        <w:spacing w:after="0" w:line="56" w:lineRule="exact"/>
        <w:rPr>
          <w:sz w:val="20"/>
          <w:szCs w:val="20"/>
          <w:color w:val="auto"/>
        </w:rPr>
      </w:pPr>
    </w:p>
    <w:p>
      <w:pPr>
        <w:ind w:left="3560"/>
        <w:spacing w:after="0"/>
        <w:tabs>
          <w:tab w:leader="none" w:pos="46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22"/>
          <w:szCs w:val="22"/>
          <w:color w:val="auto"/>
        </w:rPr>
        <w:t>David Salanic</w:t>
      </w:r>
    </w:p>
    <w:p>
      <w:pPr>
        <w:spacing w:after="0" w:line="152" w:lineRule="exact"/>
        <w:rPr>
          <w:sz w:val="20"/>
          <w:szCs w:val="20"/>
          <w:color w:val="auto"/>
        </w:rPr>
      </w:pPr>
    </w:p>
    <w:p>
      <w:pPr>
        <w:ind w:left="1680"/>
        <w:spacing w:after="0"/>
        <w:tabs>
          <w:tab w:leader="none" w:pos="276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David Salanic</w:t>
      </w:r>
    </w:p>
    <w:p>
      <w:pPr>
        <w:spacing w:after="0" w:line="44" w:lineRule="exact"/>
        <w:rPr>
          <w:sz w:val="20"/>
          <w:szCs w:val="20"/>
          <w:color w:val="auto"/>
        </w:rPr>
      </w:pPr>
    </w:p>
    <w:p>
      <w:pPr>
        <w:ind w:left="1680"/>
        <w:spacing w:after="0"/>
        <w:rPr>
          <w:sz w:val="20"/>
          <w:szCs w:val="20"/>
          <w:color w:val="auto"/>
        </w:rPr>
      </w:pPr>
      <w:r>
        <w:rPr>
          <w:rFonts w:ascii="Times New Roman" w:cs="Times New Roman" w:eastAsia="Times New Roman" w:hAnsi="Times New Roman"/>
          <w:sz w:val="22"/>
          <w:szCs w:val="22"/>
          <w:color w:val="auto"/>
        </w:rPr>
        <w:t>Name/Title: David Salanic</w:t>
      </w:r>
    </w:p>
    <w:p>
      <w:pPr>
        <w:spacing w:after="0" w:line="44" w:lineRule="exact"/>
        <w:rPr>
          <w:sz w:val="20"/>
          <w:szCs w:val="20"/>
          <w:color w:val="auto"/>
        </w:rPr>
      </w:pPr>
    </w:p>
    <w:p>
      <w:pPr>
        <w:ind w:left="1680"/>
        <w:spacing w:after="0"/>
        <w:tabs>
          <w:tab w:leader="none" w:pos="276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pacing w:after="0" w:line="152" w:lineRule="exact"/>
        <w:rPr>
          <w:sz w:val="20"/>
          <w:szCs w:val="20"/>
          <w:color w:val="auto"/>
        </w:rPr>
      </w:pPr>
    </w:p>
    <w:p>
      <w:pPr>
        <w:ind w:left="380"/>
        <w:spacing w:after="0"/>
        <w:rPr>
          <w:sz w:val="20"/>
          <w:szCs w:val="20"/>
          <w:color w:val="auto"/>
        </w:rPr>
      </w:pPr>
      <w:r>
        <w:rPr>
          <w:rFonts w:ascii="Times New Roman" w:cs="Times New Roman" w:eastAsia="Times New Roman" w:hAnsi="Times New Roman"/>
          <w:sz w:val="22"/>
          <w:szCs w:val="22"/>
          <w:color w:val="auto"/>
        </w:rPr>
        <w:t>Joseph Kaplan</w:t>
      </w:r>
    </w:p>
    <w:p>
      <w:pPr>
        <w:spacing w:after="0" w:line="152"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/s/ Joseph Kaplan</w:t>
      </w:r>
    </w:p>
    <w:p>
      <w:pPr>
        <w:spacing w:after="0" w:line="44" w:lineRule="exact"/>
        <w:rPr>
          <w:sz w:val="20"/>
          <w:szCs w:val="20"/>
          <w:color w:val="auto"/>
        </w:rPr>
      </w:pPr>
    </w:p>
    <w:p>
      <w:pPr>
        <w:ind w:left="1720"/>
        <w:spacing w:after="0"/>
        <w:rPr>
          <w:sz w:val="20"/>
          <w:szCs w:val="20"/>
          <w:color w:val="auto"/>
        </w:rPr>
      </w:pPr>
      <w:r>
        <w:rPr>
          <w:rFonts w:ascii="Times New Roman" w:cs="Times New Roman" w:eastAsia="Times New Roman" w:hAnsi="Times New Roman"/>
          <w:sz w:val="22"/>
          <w:szCs w:val="22"/>
          <w:color w:val="auto"/>
        </w:rPr>
        <w:t>Name/Title: Joseph Kaplan</w:t>
      </w:r>
    </w:p>
    <w:p>
      <w:pPr>
        <w:spacing w:after="0" w:line="44" w:lineRule="exact"/>
        <w:rPr>
          <w:sz w:val="20"/>
          <w:szCs w:val="20"/>
          <w:color w:val="auto"/>
        </w:rPr>
      </w:pPr>
    </w:p>
    <w:p>
      <w:pPr>
        <w:ind w:left="1720"/>
        <w:spacing w:after="0"/>
        <w:tabs>
          <w:tab w:leader="none" w:pos="280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04/28/2026</w:t>
      </w:r>
    </w:p>
    <w:p>
      <w:pPr>
        <w:sectPr>
          <w:pgSz w:w="11900" w:h="16838" w:orient="portrait"/>
          <w:cols w:equalWidth="0" w:num="1">
            <w:col w:w="9019"/>
          </w:cols>
          <w:pgMar w:left="1440" w:top="111" w:right="1440" w:bottom="1440" w:gutter="0" w:footer="0" w:header="0"/>
        </w:sectPr>
      </w:pPr>
    </w:p>
    <w:bookmarkStart w:id="8" w:name="page9"/>
    <w:bookmarkEnd w:id="8"/>
    <w:p>
      <w:pPr>
        <w:jc w:val="right"/>
        <w:spacing w:after="0"/>
        <w:rPr>
          <w:sz w:val="20"/>
          <w:szCs w:val="20"/>
          <w:color w:val="auto"/>
        </w:rPr>
      </w:pPr>
      <w:r>
        <w:rPr>
          <w:rFonts w:ascii="Times New Roman" w:cs="Times New Roman" w:eastAsia="Times New Roman" w:hAnsi="Times New Roman"/>
          <w:sz w:val="18"/>
          <w:szCs w:val="18"/>
          <w:color w:val="auto"/>
        </w:rPr>
        <w:t>Exhibit 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u w:val="single" w:color="auto"/>
          <w:color w:val="auto"/>
        </w:rPr>
        <w:t>Transactions in the Securities of the Issuer Since the Filing of Amendment No. 3 to the Schedule 13D</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00" w:type="dxa"/>
            <w:vAlign w:val="bottom"/>
          </w:tcPr>
          <w:p>
            <w:pPr>
              <w:spacing w:after="0"/>
              <w:rPr>
                <w:sz w:val="18"/>
                <w:szCs w:val="18"/>
                <w:color w:val="auto"/>
              </w:rPr>
            </w:pPr>
          </w:p>
        </w:tc>
        <w:tc>
          <w:tcPr>
            <w:tcW w:w="18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2960" w:type="dxa"/>
            <w:vAlign w:val="bottom"/>
            <w:gridSpan w:val="4"/>
          </w:tcPr>
          <w:p>
            <w:pPr>
              <w:ind w:left="560"/>
              <w:spacing w:after="0"/>
              <w:rPr>
                <w:sz w:val="20"/>
                <w:szCs w:val="20"/>
                <w:color w:val="auto"/>
              </w:rPr>
            </w:pPr>
            <w:r>
              <w:rPr>
                <w:rFonts w:ascii="Times New Roman" w:cs="Times New Roman" w:eastAsia="Times New Roman" w:hAnsi="Times New Roman"/>
                <w:sz w:val="18"/>
                <w:szCs w:val="18"/>
                <w:color w:val="auto"/>
              </w:rPr>
              <w:t>Amount of Securities</w:t>
            </w:r>
          </w:p>
        </w:tc>
        <w:tc>
          <w:tcPr>
            <w:tcW w:w="8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900" w:type="dxa"/>
            <w:vAlign w:val="bottom"/>
            <w:gridSpan w:val="2"/>
          </w:tcPr>
          <w:p>
            <w:pPr>
              <w:jc w:val="center"/>
              <w:ind w:right="920"/>
              <w:spacing w:after="0"/>
              <w:rPr>
                <w:sz w:val="20"/>
                <w:szCs w:val="20"/>
                <w:color w:val="auto"/>
              </w:rPr>
            </w:pPr>
            <w:r>
              <w:rPr>
                <w:rFonts w:ascii="Times New Roman" w:cs="Times New Roman" w:eastAsia="Times New Roman" w:hAnsi="Times New Roman"/>
                <w:sz w:val="18"/>
                <w:szCs w:val="18"/>
                <w:color w:val="auto"/>
              </w:rPr>
              <w:t>Date of</w:t>
            </w:r>
          </w:p>
        </w:tc>
      </w:tr>
      <w:tr>
        <w:trPr>
          <w:trHeight w:val="194"/>
        </w:trPr>
        <w:tc>
          <w:tcPr>
            <w:tcW w:w="500" w:type="dxa"/>
            <w:vAlign w:val="bottom"/>
          </w:tcPr>
          <w:p>
            <w:pPr>
              <w:spacing w:after="0"/>
              <w:rPr>
                <w:sz w:val="16"/>
                <w:szCs w:val="16"/>
                <w:color w:val="auto"/>
              </w:rPr>
            </w:pPr>
          </w:p>
        </w:tc>
        <w:tc>
          <w:tcPr>
            <w:tcW w:w="1840" w:type="dxa"/>
            <w:vAlign w:val="bottom"/>
          </w:tcPr>
          <w:p>
            <w:pPr>
              <w:spacing w:after="0" w:line="194" w:lineRule="exact"/>
              <w:rPr>
                <w:sz w:val="20"/>
                <w:szCs w:val="20"/>
                <w:color w:val="auto"/>
              </w:rPr>
            </w:pPr>
            <w:r>
              <w:rPr>
                <w:rFonts w:ascii="Times New Roman" w:cs="Times New Roman" w:eastAsia="Times New Roman" w:hAnsi="Times New Roman"/>
                <w:sz w:val="18"/>
                <w:szCs w:val="18"/>
                <w:color w:val="auto"/>
                <w:w w:val="98"/>
              </w:rPr>
              <w:t>Nature of the Transaction</w:t>
            </w:r>
          </w:p>
        </w:tc>
        <w:tc>
          <w:tcPr>
            <w:tcW w:w="56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240" w:type="dxa"/>
            <w:vAlign w:val="bottom"/>
            <w:gridSpan w:val="2"/>
          </w:tcPr>
          <w:p>
            <w:pPr>
              <w:jc w:val="right"/>
              <w:spacing w:after="0" w:line="194" w:lineRule="exact"/>
              <w:rPr>
                <w:sz w:val="20"/>
                <w:szCs w:val="20"/>
                <w:color w:val="auto"/>
              </w:rPr>
            </w:pPr>
            <w:r>
              <w:rPr>
                <w:rFonts w:ascii="Times New Roman" w:cs="Times New Roman" w:eastAsia="Times New Roman" w:hAnsi="Times New Roman"/>
                <w:sz w:val="18"/>
                <w:szCs w:val="18"/>
                <w:color w:val="auto"/>
                <w:w w:val="98"/>
              </w:rPr>
              <w:t>Purchased/(Sold)</w:t>
            </w:r>
          </w:p>
        </w:tc>
        <w:tc>
          <w:tcPr>
            <w:tcW w:w="1020" w:type="dxa"/>
            <w:vAlign w:val="bottom"/>
          </w:tcPr>
          <w:p>
            <w:pPr>
              <w:spacing w:after="0"/>
              <w:rPr>
                <w:sz w:val="16"/>
                <w:szCs w:val="16"/>
                <w:color w:val="auto"/>
              </w:rPr>
            </w:pPr>
          </w:p>
        </w:tc>
        <w:tc>
          <w:tcPr>
            <w:tcW w:w="2520" w:type="dxa"/>
            <w:vAlign w:val="bottom"/>
            <w:gridSpan w:val="4"/>
          </w:tcPr>
          <w:p>
            <w:pPr>
              <w:ind w:left="860"/>
              <w:spacing w:after="0" w:line="194" w:lineRule="exact"/>
              <w:rPr>
                <w:sz w:val="20"/>
                <w:szCs w:val="20"/>
                <w:color w:val="auto"/>
              </w:rPr>
            </w:pPr>
            <w:r>
              <w:rPr>
                <w:rFonts w:ascii="Times New Roman" w:cs="Times New Roman" w:eastAsia="Times New Roman" w:hAnsi="Times New Roman"/>
                <w:sz w:val="18"/>
                <w:szCs w:val="18"/>
                <w:color w:val="auto"/>
              </w:rPr>
              <w:t xml:space="preserve">Price </w:t>
            </w:r>
            <w:r>
              <w:rPr>
                <w:rFonts w:ascii="Times New Roman" w:cs="Times New Roman" w:eastAsia="Times New Roman" w:hAnsi="Times New Roman"/>
                <w:sz w:val="18"/>
                <w:szCs w:val="18"/>
                <w:u w:val="single" w:color="auto"/>
                <w:color w:val="auto"/>
              </w:rPr>
              <w:t>($</w:t>
            </w:r>
            <w:r>
              <w:rPr>
                <w:rFonts w:ascii="Times New Roman" w:cs="Times New Roman" w:eastAsia="Times New Roman" w:hAnsi="Times New Roman"/>
                <w:sz w:val="18"/>
                <w:szCs w:val="18"/>
                <w:color w:val="auto"/>
              </w:rPr>
              <w:t>)</w:t>
            </w:r>
          </w:p>
        </w:tc>
        <w:tc>
          <w:tcPr>
            <w:tcW w:w="2860" w:type="dxa"/>
            <w:vAlign w:val="bottom"/>
            <w:gridSpan w:val="3"/>
          </w:tcPr>
          <w:p>
            <w:pPr>
              <w:jc w:val="center"/>
              <w:spacing w:after="0" w:line="194" w:lineRule="exact"/>
              <w:rPr>
                <w:sz w:val="20"/>
                <w:szCs w:val="20"/>
                <w:color w:val="auto"/>
              </w:rPr>
            </w:pPr>
            <w:r>
              <w:rPr>
                <w:rFonts w:ascii="Times New Roman" w:cs="Times New Roman" w:eastAsia="Times New Roman" w:hAnsi="Times New Roman"/>
                <w:sz w:val="18"/>
                <w:szCs w:val="18"/>
                <w:color w:val="auto"/>
                <w:w w:val="98"/>
              </w:rPr>
              <w:t>Purchase/Sale</w:t>
            </w:r>
          </w:p>
        </w:tc>
      </w:tr>
      <w:tr>
        <w:trPr>
          <w:trHeight w:val="20"/>
        </w:trPr>
        <w:tc>
          <w:tcPr>
            <w:tcW w:w="500" w:type="dxa"/>
            <w:vAlign w:val="bottom"/>
          </w:tcPr>
          <w:p>
            <w:pPr>
              <w:spacing w:after="0" w:line="20" w:lineRule="exact"/>
              <w:rPr>
                <w:sz w:val="1"/>
                <w:szCs w:val="1"/>
                <w:color w:val="auto"/>
              </w:rPr>
            </w:pPr>
          </w:p>
        </w:tc>
        <w:tc>
          <w:tcPr>
            <w:tcW w:w="1840" w:type="dxa"/>
            <w:vAlign w:val="bottom"/>
            <w:shd w:val="clear" w:color="auto" w:fill="000000"/>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880" w:type="dxa"/>
            <w:vAlign w:val="bottom"/>
            <w:gridSpan w:val="2"/>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412"/>
        </w:trPr>
        <w:tc>
          <w:tcPr>
            <w:tcW w:w="500" w:type="dxa"/>
            <w:vAlign w:val="bottom"/>
          </w:tcPr>
          <w:p>
            <w:pPr>
              <w:spacing w:after="0"/>
              <w:rPr>
                <w:sz w:val="24"/>
                <w:szCs w:val="24"/>
                <w:color w:val="auto"/>
              </w:rPr>
            </w:pPr>
          </w:p>
        </w:tc>
        <w:tc>
          <w:tcPr>
            <w:tcW w:w="18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580" w:type="dxa"/>
            <w:vAlign w:val="bottom"/>
            <w:gridSpan w:val="6"/>
          </w:tcPr>
          <w:p>
            <w:pPr>
              <w:spacing w:after="0"/>
              <w:rPr>
                <w:sz w:val="20"/>
                <w:szCs w:val="20"/>
                <w:color w:val="auto"/>
              </w:rPr>
            </w:pPr>
            <w:r>
              <w:rPr>
                <w:rFonts w:ascii="Times New Roman" w:cs="Times New Roman" w:eastAsia="Times New Roman" w:hAnsi="Times New Roman"/>
                <w:sz w:val="18"/>
                <w:szCs w:val="18"/>
                <w:b w:val="1"/>
                <w:bCs w:val="1"/>
                <w:color w:val="auto"/>
              </w:rPr>
              <w:t>WHITEFORT CAPITAL MASTER FUND, LP</w:t>
            </w:r>
          </w:p>
        </w:tc>
        <w:tc>
          <w:tcPr>
            <w:tcW w:w="9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900" w:type="dxa"/>
            <w:vAlign w:val="bottom"/>
          </w:tcPr>
          <w:p>
            <w:pPr>
              <w:spacing w:after="0"/>
              <w:rPr>
                <w:sz w:val="24"/>
                <w:szCs w:val="24"/>
                <w:color w:val="auto"/>
              </w:rPr>
            </w:pPr>
          </w:p>
        </w:tc>
      </w:tr>
      <w:tr>
        <w:trPr>
          <w:trHeight w:val="237"/>
        </w:trPr>
        <w:tc>
          <w:tcPr>
            <w:tcW w:w="5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spacing w:after="0"/>
              <w:rPr>
                <w:sz w:val="20"/>
                <w:szCs w:val="20"/>
                <w:color w:val="auto"/>
              </w:rPr>
            </w:pPr>
          </w:p>
        </w:tc>
        <w:tc>
          <w:tcPr>
            <w:tcW w:w="620" w:type="dxa"/>
            <w:vAlign w:val="bottom"/>
            <w:tcBorders>
              <w:top w:val="single" w:sz="8" w:color="auto"/>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40" w:type="dxa"/>
            <w:vAlign w:val="bottom"/>
            <w:gridSpan w:val="3"/>
            <w:shd w:val="clear" w:color="auto" w:fill="CCEEFF"/>
          </w:tcPr>
          <w:p>
            <w:pPr>
              <w:jc w:val="right"/>
              <w:ind w:right="170"/>
              <w:spacing w:after="0"/>
              <w:rPr>
                <w:sz w:val="20"/>
                <w:szCs w:val="20"/>
                <w:color w:val="auto"/>
              </w:rPr>
            </w:pPr>
            <w:r>
              <w:rPr>
                <w:rFonts w:ascii="Times New Roman" w:cs="Times New Roman" w:eastAsia="Times New Roman" w:hAnsi="Times New Roman"/>
                <w:sz w:val="18"/>
                <w:szCs w:val="18"/>
                <w:color w:val="auto"/>
              </w:rPr>
              <w:t>1,500,000</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$4.1500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04/23/2026</w:t>
            </w:r>
          </w:p>
        </w:tc>
        <w:tc>
          <w:tcPr>
            <w:tcW w:w="900" w:type="dxa"/>
            <w:vAlign w:val="bottom"/>
            <w:shd w:val="clear" w:color="auto" w:fill="CCEEFF"/>
          </w:tcPr>
          <w:p>
            <w:pPr>
              <w:spacing w:after="0"/>
              <w:rPr>
                <w:sz w:val="18"/>
                <w:szCs w:val="18"/>
                <w:color w:val="auto"/>
              </w:rPr>
            </w:pPr>
          </w:p>
        </w:tc>
      </w:tr>
      <w:tr>
        <w:trPr>
          <w:trHeight w:val="216"/>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Purchase of Common Stock</w:t>
            </w:r>
          </w:p>
        </w:tc>
        <w:tc>
          <w:tcPr>
            <w:tcW w:w="1940" w:type="dxa"/>
            <w:vAlign w:val="bottom"/>
            <w:gridSpan w:val="3"/>
          </w:tcPr>
          <w:p>
            <w:pPr>
              <w:jc w:val="right"/>
              <w:ind w:right="170"/>
              <w:spacing w:after="0"/>
              <w:rPr>
                <w:sz w:val="20"/>
                <w:szCs w:val="20"/>
                <w:color w:val="auto"/>
              </w:rPr>
            </w:pPr>
            <w:r>
              <w:rPr>
                <w:rFonts w:ascii="Times New Roman" w:cs="Times New Roman" w:eastAsia="Times New Roman" w:hAnsi="Times New Roman"/>
                <w:sz w:val="18"/>
                <w:szCs w:val="18"/>
                <w:color w:val="auto"/>
              </w:rPr>
              <w:t>2,000,000</w:t>
            </w:r>
          </w:p>
        </w:tc>
        <w:tc>
          <w:tcPr>
            <w:tcW w:w="1020" w:type="dxa"/>
            <w:vAlign w:val="bottom"/>
          </w:tcPr>
          <w:p>
            <w:pPr>
              <w:spacing w:after="0"/>
              <w:rPr>
                <w:sz w:val="18"/>
                <w:szCs w:val="18"/>
                <w:color w:val="auto"/>
              </w:rPr>
            </w:pPr>
          </w:p>
        </w:tc>
        <w:tc>
          <w:tcPr>
            <w:tcW w:w="1480" w:type="dxa"/>
            <w:vAlign w:val="bottom"/>
            <w:gridSpan w:val="2"/>
          </w:tcPr>
          <w:p>
            <w:pPr>
              <w:ind w:left="880"/>
              <w:spacing w:after="0"/>
              <w:rPr>
                <w:sz w:val="20"/>
                <w:szCs w:val="20"/>
                <w:color w:val="auto"/>
              </w:rPr>
            </w:pPr>
            <w:r>
              <w:rPr>
                <w:rFonts w:ascii="Times New Roman" w:cs="Times New Roman" w:eastAsia="Times New Roman" w:hAnsi="Times New Roman"/>
                <w:sz w:val="18"/>
                <w:szCs w:val="18"/>
                <w:color w:val="auto"/>
                <w:w w:val="99"/>
              </w:rPr>
              <w:t>$4.0500</w:t>
            </w:r>
          </w:p>
        </w:tc>
        <w:tc>
          <w:tcPr>
            <w:tcW w:w="1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960" w:type="dxa"/>
            <w:vAlign w:val="bottom"/>
            <w:gridSpan w:val="2"/>
          </w:tcPr>
          <w:p>
            <w:pPr>
              <w:jc w:val="center"/>
              <w:ind w:left="850"/>
              <w:spacing w:after="0"/>
              <w:rPr>
                <w:sz w:val="20"/>
                <w:szCs w:val="20"/>
                <w:color w:val="auto"/>
              </w:rPr>
            </w:pPr>
            <w:r>
              <w:rPr>
                <w:rFonts w:ascii="Times New Roman" w:cs="Times New Roman" w:eastAsia="Times New Roman" w:hAnsi="Times New Roman"/>
                <w:sz w:val="18"/>
                <w:szCs w:val="18"/>
                <w:color w:val="auto"/>
                <w:w w:val="99"/>
              </w:rPr>
              <w:t>04/24/2026</w:t>
            </w:r>
          </w:p>
        </w:tc>
        <w:tc>
          <w:tcPr>
            <w:tcW w:w="900" w:type="dxa"/>
            <w:vAlign w:val="bottom"/>
          </w:tcPr>
          <w:p>
            <w:pPr>
              <w:spacing w:after="0"/>
              <w:rPr>
                <w:sz w:val="18"/>
                <w:szCs w:val="18"/>
                <w:color w:val="auto"/>
              </w:rPr>
            </w:pPr>
          </w:p>
        </w:tc>
      </w:tr>
      <w:tr>
        <w:trPr>
          <w:trHeight w:val="216"/>
        </w:trPr>
        <w:tc>
          <w:tcPr>
            <w:tcW w:w="2900" w:type="dxa"/>
            <w:vAlign w:val="bottom"/>
            <w:gridSpan w:val="3"/>
            <w:shd w:val="clear" w:color="auto" w:fill="CCEEFF"/>
          </w:tcPr>
          <w:p>
            <w:pPr>
              <w:ind w:left="100"/>
              <w:spacing w:after="0"/>
              <w:rPr>
                <w:sz w:val="20"/>
                <w:szCs w:val="20"/>
                <w:color w:val="auto"/>
              </w:rPr>
            </w:pPr>
            <w:r>
              <w:rPr>
                <w:rFonts w:ascii="Times New Roman" w:cs="Times New Roman" w:eastAsia="Times New Roman" w:hAnsi="Times New Roman"/>
                <w:sz w:val="18"/>
                <w:szCs w:val="18"/>
                <w:color w:val="auto"/>
              </w:rPr>
              <w:t>Sale of Common Stock</w:t>
            </w:r>
          </w:p>
        </w:tc>
        <w:tc>
          <w:tcPr>
            <w:tcW w:w="1940" w:type="dxa"/>
            <w:vAlign w:val="bottom"/>
            <w:gridSpan w:val="3"/>
            <w:shd w:val="clear" w:color="auto" w:fill="CCEEFF"/>
          </w:tcPr>
          <w:p>
            <w:pPr>
              <w:jc w:val="right"/>
              <w:ind w:right="110"/>
              <w:spacing w:after="0"/>
              <w:rPr>
                <w:sz w:val="20"/>
                <w:szCs w:val="20"/>
                <w:color w:val="auto"/>
              </w:rPr>
            </w:pPr>
            <w:r>
              <w:rPr>
                <w:rFonts w:ascii="Times New Roman" w:cs="Times New Roman" w:eastAsia="Times New Roman" w:hAnsi="Times New Roman"/>
                <w:sz w:val="18"/>
                <w:szCs w:val="18"/>
                <w:color w:val="auto"/>
              </w:rPr>
              <w:t>(3,500,000)</w:t>
            </w:r>
          </w:p>
        </w:tc>
        <w:tc>
          <w:tcPr>
            <w:tcW w:w="1020" w:type="dxa"/>
            <w:vAlign w:val="bottom"/>
            <w:shd w:val="clear" w:color="auto" w:fill="CCEEFF"/>
          </w:tcPr>
          <w:p>
            <w:pPr>
              <w:spacing w:after="0"/>
              <w:rPr>
                <w:sz w:val="18"/>
                <w:szCs w:val="18"/>
                <w:color w:val="auto"/>
              </w:rPr>
            </w:pPr>
          </w:p>
        </w:tc>
        <w:tc>
          <w:tcPr>
            <w:tcW w:w="1480" w:type="dxa"/>
            <w:vAlign w:val="bottom"/>
            <w:gridSpan w:val="2"/>
            <w:shd w:val="clear" w:color="auto" w:fill="CCEEFF"/>
          </w:tcPr>
          <w:p>
            <w:pPr>
              <w:ind w:left="880"/>
              <w:spacing w:after="0"/>
              <w:rPr>
                <w:sz w:val="20"/>
                <w:szCs w:val="20"/>
                <w:color w:val="auto"/>
              </w:rPr>
            </w:pPr>
            <w:r>
              <w:rPr>
                <w:rFonts w:ascii="Times New Roman" w:cs="Times New Roman" w:eastAsia="Times New Roman" w:hAnsi="Times New Roman"/>
                <w:sz w:val="18"/>
                <w:szCs w:val="18"/>
                <w:color w:val="auto"/>
                <w:w w:val="99"/>
              </w:rPr>
              <w:t>$4.2800</w:t>
            </w:r>
          </w:p>
        </w:tc>
        <w:tc>
          <w:tcPr>
            <w:tcW w:w="1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960" w:type="dxa"/>
            <w:vAlign w:val="bottom"/>
            <w:gridSpan w:val="2"/>
            <w:shd w:val="clear" w:color="auto" w:fill="CCEEFF"/>
          </w:tcPr>
          <w:p>
            <w:pPr>
              <w:jc w:val="center"/>
              <w:ind w:left="850"/>
              <w:spacing w:after="0"/>
              <w:rPr>
                <w:sz w:val="20"/>
                <w:szCs w:val="20"/>
                <w:color w:val="auto"/>
              </w:rPr>
            </w:pPr>
            <w:r>
              <w:rPr>
                <w:rFonts w:ascii="Times New Roman" w:cs="Times New Roman" w:eastAsia="Times New Roman" w:hAnsi="Times New Roman"/>
                <w:sz w:val="18"/>
                <w:szCs w:val="18"/>
                <w:color w:val="auto"/>
                <w:w w:val="99"/>
              </w:rPr>
              <w:t>04/27/2026</w:t>
            </w:r>
          </w:p>
        </w:tc>
        <w:tc>
          <w:tcPr>
            <w:tcW w:w="900" w:type="dxa"/>
            <w:vAlign w:val="bottom"/>
            <w:shd w:val="clear" w:color="auto" w:fill="CCEEFF"/>
          </w:tcPr>
          <w:p>
            <w:pPr>
              <w:spacing w:after="0"/>
              <w:rPr>
                <w:sz w:val="18"/>
                <w:szCs w:val="18"/>
                <w:color w:val="auto"/>
              </w:rPr>
            </w:pPr>
          </w:p>
        </w:tc>
      </w:tr>
      <w:tr>
        <w:trPr>
          <w:trHeight w:val="198"/>
        </w:trPr>
        <w:tc>
          <w:tcPr>
            <w:tcW w:w="2900" w:type="dxa"/>
            <w:vAlign w:val="bottom"/>
            <w:gridSpan w:val="3"/>
          </w:tcPr>
          <w:p>
            <w:pPr>
              <w:ind w:left="100"/>
              <w:spacing w:after="0" w:line="198" w:lineRule="exact"/>
              <w:rPr>
                <w:sz w:val="20"/>
                <w:szCs w:val="20"/>
                <w:color w:val="auto"/>
              </w:rPr>
            </w:pPr>
            <w:r>
              <w:rPr>
                <w:rFonts w:ascii="Times New Roman" w:cs="Times New Roman" w:eastAsia="Times New Roman" w:hAnsi="Times New Roman"/>
                <w:sz w:val="18"/>
                <w:szCs w:val="18"/>
                <w:color w:val="auto"/>
              </w:rPr>
              <w:t>Purchase of Cash-Settled Total</w:t>
            </w:r>
          </w:p>
        </w:tc>
        <w:tc>
          <w:tcPr>
            <w:tcW w:w="1940" w:type="dxa"/>
            <w:vAlign w:val="bottom"/>
            <w:gridSpan w:val="3"/>
          </w:tcPr>
          <w:p>
            <w:pPr>
              <w:jc w:val="right"/>
              <w:ind w:right="170"/>
              <w:spacing w:after="0" w:line="198" w:lineRule="exact"/>
              <w:rPr>
                <w:sz w:val="20"/>
                <w:szCs w:val="20"/>
                <w:color w:val="auto"/>
              </w:rPr>
            </w:pPr>
            <w:r>
              <w:rPr>
                <w:rFonts w:ascii="Times New Roman" w:cs="Times New Roman" w:eastAsia="Times New Roman" w:hAnsi="Times New Roman"/>
                <w:sz w:val="18"/>
                <w:szCs w:val="18"/>
                <w:color w:val="auto"/>
              </w:rPr>
              <w:t>3,500,000</w:t>
            </w:r>
          </w:p>
        </w:tc>
        <w:tc>
          <w:tcPr>
            <w:tcW w:w="1020" w:type="dxa"/>
            <w:vAlign w:val="bottom"/>
          </w:tcPr>
          <w:p>
            <w:pPr>
              <w:spacing w:after="0"/>
              <w:rPr>
                <w:sz w:val="17"/>
                <w:szCs w:val="17"/>
                <w:color w:val="auto"/>
              </w:rPr>
            </w:pPr>
          </w:p>
        </w:tc>
        <w:tc>
          <w:tcPr>
            <w:tcW w:w="1480" w:type="dxa"/>
            <w:vAlign w:val="bottom"/>
            <w:gridSpan w:val="2"/>
          </w:tcPr>
          <w:p>
            <w:pPr>
              <w:ind w:left="880"/>
              <w:spacing w:after="0" w:line="198" w:lineRule="exact"/>
              <w:rPr>
                <w:sz w:val="20"/>
                <w:szCs w:val="20"/>
                <w:color w:val="auto"/>
              </w:rPr>
            </w:pPr>
            <w:r>
              <w:rPr>
                <w:rFonts w:ascii="Times New Roman" w:cs="Times New Roman" w:eastAsia="Times New Roman" w:hAnsi="Times New Roman"/>
                <w:sz w:val="18"/>
                <w:szCs w:val="18"/>
                <w:color w:val="auto"/>
                <w:w w:val="99"/>
              </w:rPr>
              <w:t>$4.2800</w:t>
            </w:r>
          </w:p>
        </w:tc>
        <w:tc>
          <w:tcPr>
            <w:tcW w:w="1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960" w:type="dxa"/>
            <w:vAlign w:val="bottom"/>
            <w:gridSpan w:val="2"/>
          </w:tcPr>
          <w:p>
            <w:pPr>
              <w:jc w:val="center"/>
              <w:ind w:left="850"/>
              <w:spacing w:after="0" w:line="198" w:lineRule="exact"/>
              <w:rPr>
                <w:sz w:val="20"/>
                <w:szCs w:val="20"/>
                <w:color w:val="auto"/>
              </w:rPr>
            </w:pPr>
            <w:r>
              <w:rPr>
                <w:rFonts w:ascii="Times New Roman" w:cs="Times New Roman" w:eastAsia="Times New Roman" w:hAnsi="Times New Roman"/>
                <w:sz w:val="18"/>
                <w:szCs w:val="18"/>
                <w:color w:val="auto"/>
                <w:w w:val="99"/>
              </w:rPr>
              <w:t>04/27/2026</w:t>
            </w:r>
          </w:p>
        </w:tc>
        <w:tc>
          <w:tcPr>
            <w:tcW w:w="900" w:type="dxa"/>
            <w:vAlign w:val="bottom"/>
          </w:tcPr>
          <w:p>
            <w:pPr>
              <w:spacing w:after="0"/>
              <w:rPr>
                <w:sz w:val="17"/>
                <w:szCs w:val="17"/>
                <w:color w:val="auto"/>
              </w:rPr>
            </w:pPr>
          </w:p>
        </w:tc>
      </w:tr>
      <w:tr>
        <w:trPr>
          <w:trHeight w:val="234"/>
        </w:trPr>
        <w:tc>
          <w:tcPr>
            <w:tcW w:w="290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Return Swap</w:t>
            </w:r>
          </w:p>
        </w:tc>
        <w:tc>
          <w:tcPr>
            <w:tcW w:w="7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900" w:type="dxa"/>
            <w:vAlign w:val="bottom"/>
          </w:tcPr>
          <w:p>
            <w:pPr>
              <w:spacing w:after="0"/>
              <w:rPr>
                <w:sz w:val="20"/>
                <w:szCs w:val="20"/>
                <w:color w:val="auto"/>
              </w:rPr>
            </w:pPr>
          </w:p>
        </w:tc>
      </w:tr>
    </w:tbl>
    <w:p>
      <w:pPr>
        <w:spacing w:after="0" w:line="1" w:lineRule="exact"/>
        <w:rPr>
          <w:sz w:val="20"/>
          <w:szCs w:val="20"/>
          <w:color w:val="auto"/>
        </w:rPr>
      </w:pPr>
    </w:p>
    <w:sectPr>
      <w:pgSz w:w="11900" w:h="16838" w:orient="portrait"/>
      <w:cols w:equalWidth="0" w:num="1">
        <w:col w:w="11240"/>
      </w:cols>
      <w:pgMar w:left="320" w:top="121"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6E87CCD"/>
    <w:multiLevelType w:val="hybridMultilevel"/>
    <w:lvl w:ilvl="0">
      <w:lvlJc w:val="left"/>
      <w:lvlText w:val="1"/>
      <w:numFmt w:val="bullet"/>
      <w:start w:val="1"/>
    </w:lvl>
  </w:abstractNum>
  <w:abstractNum w:abstractNumId="1">
    <w:nsid w:val="3D1B58BA"/>
    <w:multiLevelType w:val="hybridMultilevel"/>
    <w:lvl w:ilvl="0">
      <w:lvlJc w:val="left"/>
      <w:lvlText w:val="2"/>
      <w:numFmt w:val="bullet"/>
      <w:start w:val="1"/>
    </w:lvl>
  </w:abstractNum>
  <w:abstractNum w:abstractNumId="2">
    <w:nsid w:val="507ED7AB"/>
    <w:multiLevelType w:val="hybridMultilevel"/>
    <w:lvl w:ilvl="0">
      <w:lvlJc w:val="left"/>
      <w:lvlText w:val="3"/>
      <w:numFmt w:val="bullet"/>
      <w:start w:val="1"/>
    </w:lvl>
  </w:abstractNum>
  <w:abstractNum w:abstractNumId="3">
    <w:nsid w:val="2EB141F2"/>
    <w:multiLevelType w:val="hybridMultilevel"/>
    <w:lvl w:ilvl="0">
      <w:lvlJc w:val="left"/>
      <w:lvlText w:val="6"/>
      <w:numFmt w:val="bullet"/>
      <w:start w:val="1"/>
    </w:lvl>
  </w:abstractNum>
  <w:abstractNum w:abstractNumId="4">
    <w:nsid w:val="41B71EFB"/>
    <w:multiLevelType w:val="hybridMultilevel"/>
    <w:lvl w:ilvl="0">
      <w:lvlJc w:val="left"/>
      <w:lvlText w:val="2"/>
      <w:numFmt w:val="bullet"/>
      <w:start w:val="1"/>
    </w:lvl>
  </w:abstractNum>
  <w:abstractNum w:abstractNumId="5">
    <w:nsid w:val="79E2A9E3"/>
    <w:multiLevelType w:val="hybridMultilevel"/>
    <w:lvl w:ilvl="0">
      <w:lvlJc w:val="left"/>
      <w:lvlText w:val="3"/>
      <w:numFmt w:val="bullet"/>
      <w:start w:val="1"/>
    </w:lvl>
  </w:abstractNum>
  <w:abstractNum w:abstractNumId="6">
    <w:nsid w:val="7545E146"/>
    <w:multiLevelType w:val="hybridMultilevel"/>
    <w:lvl w:ilvl="0">
      <w:lvlJc w:val="left"/>
      <w:lvlText w:val="(%1)"/>
      <w:numFmt w:val="lowerLetter"/>
      <w:start w:val="3"/>
    </w:lvl>
  </w:abstractNum>
  <w:abstractNum w:abstractNumId="7">
    <w:nsid w:val="515F007C"/>
    <w:multiLevelType w:val="hybridMultilevel"/>
    <w:lvl w:ilvl="0">
      <w:lvlJc w:val="left"/>
      <w:lvlText w:val="(%1)"/>
      <w:numFmt w:val="lowerLetter"/>
      <w:start w:val="1"/>
    </w:lvl>
  </w:abstractNum>
  <w:abstractNum w:abstractNumId="8">
    <w:nsid w:val="5BD062C2"/>
    <w:multiLevelType w:val="hybridMultilevel"/>
    <w:lvl w:ilvl="0">
      <w:lvlJc w:val="left"/>
      <w:lvlText w:val="(%1)"/>
      <w:numFmt w:val="lowerLetter"/>
      <w:start w:val="3"/>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2026-04-28T19:20:27Z</dcterms:created>
  <dcterms:modified xsi:type="dcterms:W3CDTF">2026-04-28T19:20:27Z</dcterms:modified>
</cp:coreProperties>
</file>