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Arbutus Biopharma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Whitefort Capital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15,794,261.00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15,794,261.00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15,794,261.00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Persons (as defined below) initially filed a Schedule 13G with respect to the securities of the Issuer on September 11, 2023. Subsequently, on May 2, 2024, the Reporting Persons' investment intent changed with respect to the securities of the Issuer and the Reporting Persons filed a Schedule 13D on May 9, 2024 in accordance with Rule 13d-1(e) of the Securities Exchange Act of 1934, as amended (the "Exchange Act"). As of September 4, 2026, the Reporting Persons no longer held securities of the Issuer with a purpose or effect of changing or influencing control of the Issuer, or in connection with or as a participant in any transaction having that purpose or effect. Accordingly, the Reporting Persons are filing this statement on Schedule 13G pursuant to Rule 13d-1(c) of the Exchange Act in accordance with Rule 13d-1(h) of the Exchange Act.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Whitefort Capital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15,794,261.00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15,794,261.00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15,794,261.00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Whitefort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15,794,261.00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15,794,261.00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15,794,261.00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Whitefort Capital Management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15,794,261.00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15,794,261.00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15,794,261.00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Salanic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15,794,261.00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15,794,261.00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15,794,261.00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Kaplan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15,794,261.00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15,794,261.00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15,794,261.00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Arbutus Biopharma Corp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VETERANS CIRCLE, WARMINSTER, PA 18974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Whitefort Capital Master Fund, LP, a Cayman Islands exempted limited partnership ("Whitefort Master Fund"); (ii) Whitefort Capital GP, LLC, a Delaware limited liability company ("Whitefort Master GP"), as the general partner of Whitefort Master Fund; (iii) Whitefort Capital Management, LP, a Delaware limited partnership ("Whitefort Management"), as the investment manager of Whitefort Master Fund; (iv) Whitefort Capital Management GP, LLC, a Delaware limited liability company ("Whitefort GP"), as the general partner of Whitefort Management; (v) David Salanic, as a Co-Managing Partner of Whitefort Management and a Co-Managing Member of each of Whitefort Master GP and Whitefort GP; and (vi) Joseph Kaplan, as a Co-Managing Partner of Whitefort Management and a Co-Managing Member of each of Whitefort Master GP and Whitefort GP.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office of Whitefort Master Fund is c/o Walkers Corporate Limited, 190 Elgin Avenue, George Town, Grand Cayman KY1-9008 Cayman Islands. The address of the principal office of each of Whitefort Master GP, Whitefort Management, Whitefort GP and Messrs. Salanic and Kaplan is 12 East 49th Street, 40th Floor,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Whitefort Master Fund is organized under the laws of the Cayman Islands. Each of Whitefort Master GP, Whitefort Management and Whitefort GP is organized under the laws of the State of Delaware. Mr. Salanic is a citizen of France. Mr. Kaplan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(i) Whitefort Master Fund directly beneficially owns 15,794,261 Shares; (ii) Whitefort Master GP, as the general partner of Whitefort Master Fund, may be deemed to beneficially own the 15,794,261 Shares beneficially owned directly by Whitefort Master Fund; (iii) Whitefort Management, as the investment manager of Whitefort Master Fund, may be deemed to beneficially own the 15,794,261 Shares beneficially owned directly by Whitefort Master Fund; (iv) Whitefort GP, as the general partner of Whitefort Management, may be deemed to beneficially own the 15,794,261 Shares beneficially owned directly by Whitefort Master Fund; (v) Mr. Salanic, as a Co-Managing Partner of Whitefort Management and a Co-Managing Member of each of Whitefort Master GP and Whitefort GP, may be deemed to beneficially own the 15,794,261 Shares beneficially owned directly by Whitefort Master Fund; and (vi) Mr. Kaplan, as a Co-Managing Partner of Whitefort Management and a Co-Managing Member of each of Whitefort Master GP and Whitefort GP, may be deemed to beneficially own the 15,794,261 Shares beneficially owned directly by Whitefort Master Fund. The filing of this Schedule 13G shall not be construed as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198,105,743 Shares outstanding as of August 19, 2026, which is the total number of Shares outstanding as reported in the Issuer's tender offer statement on Schedule TO filed with the Securities and Exchange Commission on August 24, 2026. As of the date hereof, (i) Whitefort Master Fund beneficially owns approximately 8.0% of the outstanding Shares, (ii) Whitefort Master GP may be deemed to beneficially own approximately 8.0% of the outstanding Shares, (iii) Whitefort Management may be deemed to beneficially own approximately 8.0% of the outstanding Shares, (iv) Whitefort GP may be deemed to beneficially own approximately 8.0% of the outstanding Shares, (v) Mr. Salanic may be deemed to beneficially own approximately 8.0% of the outstanding Shares and (vi) Mr. Kaplan may be deemed to beneficially own approximately 8.0%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Whitefort Capital Master Fund,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David Salanic</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David Salanic, Co-Managing Member of Whitefort Capital GP, LLC,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Joseph Kaplan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Joseph Kaplan, Co-Managing Member of Whitefort Capital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Whitefort Capital GP,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David Salanic</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David Salanic, Co-Managing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Joseph Kaplan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Joseph Kaplan, Co-Managing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Whitefort Capital Management,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David Salanic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David Salanic, Co-Managing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Joseph Kaplan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Joseph Kaplan, Co-Managing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Whitefort Capital Management GP, LLC</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David Salanic</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David Salanic, Co-Managing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Joseph Kaplan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Joseph Kaplan, Co-Managing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David Salanic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David Salanic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David Salanic</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Joseph Kaplan</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Joseph Kaplan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Joseph Kaplan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center"/>
              <w:rPr>
                <w:b/>
              </w:rPr>
            </w:pPr>
            <w:r>
              <w:rPr>
                <w:b/>
              </w:rPr>
              <w:t xml:space="preserve">Exhibit Information </w:t>
            </w:r>
          </w:p>
        </w:tc>
      </w:tr>
      <w:tr>
        <w:trPr/>
        <w:tc>
          <w:tcPr>
            <w:tcW w:w="2956" w:type="dxa"/>
            <w:tcBorders/>
            <w:vAlign w:val="center"/>
          </w:tcPr>
          <w:p>
            <w:pPr>
              <w:pStyle w:val="TableContents"/>
              <w:bidi w:val="0"/>
              <w:spacing w:before="0" w:after="283"/>
              <w:jc w:val="left"/>
              <w:rPr/>
            </w:pPr>
            <w:r>
              <w:rPr/>
              <w:t>99.1 - Joint Filing Agreement</w:t>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6" w:name="ex991to13g14125002_09042026.htm"/>
      <w:bookmarkStart w:id="37" w:name="ksex991to13g14125002_09042026"/>
      <w:bookmarkEnd w:id="36"/>
      <w:bookmarkEnd w:id="37"/>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September 4, 2026 with respect to the Common Shares, without par value, of Arbutus Biopharma Corporation, and any amendments thereto executed by each and any of the undersigned shall be filed on behalf of each of the undersigned pursuant to and in accordance with the provisions of Rule 13d-1(k)(1) under the Securities Exchange Act of 1934, as amended.</w:t>
      </w:r>
    </w:p>
    <w:tbl>
      <w:tblPr>
        <w:tblW w:w="9393" w:type="dxa"/>
        <w:jc w:val="left"/>
        <w:tblInd w:w="0" w:type="dxa"/>
        <w:tblLayout w:type="fixed"/>
        <w:tblCellMar>
          <w:top w:w="0" w:type="dxa"/>
          <w:left w:w="0" w:type="dxa"/>
          <w:bottom w:w="0" w:type="dxa"/>
          <w:right w:w="0" w:type="dxa"/>
        </w:tblCellMar>
      </w:tblPr>
      <w:tblGrid>
        <w:gridCol w:w="884"/>
        <w:gridCol w:w="8093"/>
        <w:gridCol w:w="416"/>
      </w:tblGrid>
      <w:tr>
        <w:trPr/>
        <w:tc>
          <w:tcPr>
            <w:tcW w:w="9393" w:type="dxa"/>
            <w:gridSpan w:val="3"/>
            <w:tcBorders/>
            <w:vAlign w:val="center"/>
          </w:tcPr>
          <w:p>
            <w:pPr>
              <w:pStyle w:val="TableContents"/>
              <w:bidi w:val="0"/>
              <w:spacing w:before="0" w:after="283"/>
              <w:jc w:val="left"/>
              <w:rPr/>
            </w:pPr>
            <w:r>
              <w:rPr/>
              <w:t>Whitefort Capital Master Fund, LP</w:t>
            </w:r>
          </w:p>
        </w:tc>
      </w:tr>
      <w:tr>
        <w:trPr/>
        <w:tc>
          <w:tcPr>
            <w:tcW w:w="9393" w:type="dxa"/>
            <w:gridSpan w:val="3"/>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283"/>
              <w:jc w:val="left"/>
              <w:rPr/>
            </w:pPr>
            <w:r>
              <w:rPr/>
              <w:t>By:</w:t>
            </w:r>
          </w:p>
        </w:tc>
        <w:tc>
          <w:tcPr>
            <w:tcW w:w="809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shd w:fill="FFFFFF" w:val="clear"/>
              </w:rPr>
              <w:t>David Salanic</w:t>
            </w:r>
          </w:p>
        </w:tc>
        <w:tc>
          <w:tcPr>
            <w:tcW w:w="416" w:type="dxa"/>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283"/>
              <w:jc w:val="left"/>
              <w:rPr/>
            </w:pPr>
            <w:r>
              <w:rPr/>
              <w:t> </w:t>
            </w:r>
          </w:p>
        </w:tc>
        <w:tc>
          <w:tcPr>
            <w:tcW w:w="8509" w:type="dxa"/>
            <w:gridSpan w:val="2"/>
            <w:tcBorders/>
            <w:vAlign w:val="center"/>
          </w:tcPr>
          <w:p>
            <w:pPr>
              <w:pStyle w:val="TableContents"/>
              <w:bidi w:val="0"/>
              <w:spacing w:before="0" w:after="283"/>
              <w:jc w:val="left"/>
              <w:rPr>
                <w:shd w:fill="FFFFFF" w:val="clear"/>
              </w:rPr>
            </w:pPr>
            <w:r>
              <w:rPr>
                <w:shd w:fill="FFFFFF" w:val="clear"/>
              </w:rPr>
              <w:t>David Salanic, Co-Managing Member of Whitefort Capital GP, LLC, its General Partner</w:t>
            </w:r>
          </w:p>
        </w:tc>
      </w:tr>
      <w:tr>
        <w:trPr/>
        <w:tc>
          <w:tcPr>
            <w:tcW w:w="884" w:type="dxa"/>
            <w:tcBorders/>
            <w:vAlign w:val="center"/>
          </w:tcPr>
          <w:p>
            <w:pPr>
              <w:pStyle w:val="TableContents"/>
              <w:bidi w:val="0"/>
              <w:spacing w:before="0" w:after="283"/>
              <w:jc w:val="left"/>
              <w:rPr/>
            </w:pPr>
            <w:r>
              <w:rPr/>
              <w:t>Date:</w:t>
            </w:r>
          </w:p>
        </w:tc>
        <w:tc>
          <w:tcPr>
            <w:tcW w:w="8509" w:type="dxa"/>
            <w:gridSpan w:val="2"/>
            <w:tcBorders/>
            <w:vAlign w:val="center"/>
          </w:tcPr>
          <w:p>
            <w:pPr>
              <w:pStyle w:val="TableContents"/>
              <w:bidi w:val="0"/>
              <w:spacing w:before="0" w:after="283"/>
              <w:jc w:val="left"/>
              <w:rPr/>
            </w:pPr>
            <w:r>
              <w:rPr/>
              <w:t>09/04/2026</w:t>
            </w:r>
          </w:p>
        </w:tc>
      </w:tr>
      <w:tr>
        <w:trPr/>
        <w:tc>
          <w:tcPr>
            <w:tcW w:w="9393" w:type="dxa"/>
            <w:gridSpan w:val="3"/>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283"/>
              <w:jc w:val="left"/>
              <w:rPr/>
            </w:pPr>
            <w:r>
              <w:rPr/>
              <w:t>By:</w:t>
            </w:r>
          </w:p>
        </w:tc>
        <w:tc>
          <w:tcPr>
            <w:tcW w:w="809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Kaplan</w:t>
            </w:r>
          </w:p>
        </w:tc>
        <w:tc>
          <w:tcPr>
            <w:tcW w:w="416" w:type="dxa"/>
            <w:tcBorders/>
            <w:vAlign w:val="center"/>
          </w:tcPr>
          <w:p>
            <w:pPr>
              <w:pStyle w:val="TableContents"/>
              <w:bidi w:val="0"/>
              <w:spacing w:before="0" w:after="283"/>
              <w:jc w:val="left"/>
              <w:rPr/>
            </w:pPr>
            <w:r>
              <w:rPr/>
              <w:t> </w:t>
            </w:r>
          </w:p>
        </w:tc>
      </w:tr>
      <w:tr>
        <w:trPr/>
        <w:tc>
          <w:tcPr>
            <w:tcW w:w="884" w:type="dxa"/>
            <w:tcBorders/>
            <w:vAlign w:val="center"/>
          </w:tcPr>
          <w:p>
            <w:pPr>
              <w:pStyle w:val="TableContents"/>
              <w:bidi w:val="0"/>
              <w:spacing w:before="0" w:after="283"/>
              <w:jc w:val="left"/>
              <w:rPr/>
            </w:pPr>
            <w:r>
              <w:rPr/>
              <w:t> </w:t>
            </w:r>
          </w:p>
        </w:tc>
        <w:tc>
          <w:tcPr>
            <w:tcW w:w="8509" w:type="dxa"/>
            <w:gridSpan w:val="2"/>
            <w:tcBorders/>
            <w:vAlign w:val="center"/>
          </w:tcPr>
          <w:p>
            <w:pPr>
              <w:pStyle w:val="TableContents"/>
              <w:bidi w:val="0"/>
              <w:spacing w:before="0" w:after="283"/>
              <w:jc w:val="left"/>
              <w:rPr/>
            </w:pPr>
            <w:r>
              <w:rPr/>
              <w:t>Joseph Kaplan</w:t>
            </w:r>
            <w:r>
              <w:rPr>
                <w:shd w:fill="FFFFFF" w:val="clear"/>
              </w:rPr>
              <w:t>, Co-Managing Member of Whitefort Capital GP, LLC, its General Partner</w:t>
            </w:r>
          </w:p>
        </w:tc>
      </w:tr>
      <w:tr>
        <w:trPr/>
        <w:tc>
          <w:tcPr>
            <w:tcW w:w="884" w:type="dxa"/>
            <w:tcBorders/>
            <w:vAlign w:val="center"/>
          </w:tcPr>
          <w:p>
            <w:pPr>
              <w:pStyle w:val="TableContents"/>
              <w:bidi w:val="0"/>
              <w:spacing w:before="0" w:after="283"/>
              <w:jc w:val="left"/>
              <w:rPr/>
            </w:pPr>
            <w:r>
              <w:rPr/>
              <w:t>Date:</w:t>
            </w:r>
          </w:p>
        </w:tc>
        <w:tc>
          <w:tcPr>
            <w:tcW w:w="8509" w:type="dxa"/>
            <w:gridSpan w:val="2"/>
            <w:tcBorders/>
            <w:vAlign w:val="center"/>
          </w:tcPr>
          <w:p>
            <w:pPr>
              <w:pStyle w:val="TableContents"/>
              <w:bidi w:val="0"/>
              <w:spacing w:before="0" w:after="283"/>
              <w:jc w:val="left"/>
              <w:rPr/>
            </w:pPr>
            <w:r>
              <w:rPr/>
              <w:t>09/04/2026</w:t>
            </w:r>
          </w:p>
        </w:tc>
      </w:tr>
    </w:tbl>
    <w:p>
      <w:pPr>
        <w:pStyle w:val="TextBody"/>
        <w:bidi w:val="0"/>
        <w:jc w:val="left"/>
        <w:rPr>
          <w:caps w:val="false"/>
          <w:smallCaps w:val="false"/>
        </w:rPr>
      </w:pPr>
      <w:r>
        <w:rPr>
          <w:caps w:val="false"/>
          <w:smallCaps w:val="false"/>
        </w:rPr>
        <w:t> </w:t>
      </w:r>
    </w:p>
    <w:tbl>
      <w:tblPr>
        <w:tblW w:w="4422" w:type="dxa"/>
        <w:jc w:val="left"/>
        <w:tblInd w:w="0" w:type="dxa"/>
        <w:tblLayout w:type="fixed"/>
        <w:tblCellMar>
          <w:top w:w="0" w:type="dxa"/>
          <w:left w:w="0" w:type="dxa"/>
          <w:bottom w:w="0" w:type="dxa"/>
          <w:right w:w="0" w:type="dxa"/>
        </w:tblCellMar>
      </w:tblPr>
      <w:tblGrid>
        <w:gridCol w:w="698"/>
        <w:gridCol w:w="3542"/>
        <w:gridCol w:w="182"/>
      </w:tblGrid>
      <w:tr>
        <w:trPr/>
        <w:tc>
          <w:tcPr>
            <w:tcW w:w="4422" w:type="dxa"/>
            <w:gridSpan w:val="3"/>
            <w:tcBorders/>
            <w:vAlign w:val="center"/>
          </w:tcPr>
          <w:p>
            <w:pPr>
              <w:pStyle w:val="TableContents"/>
              <w:bidi w:val="0"/>
              <w:spacing w:before="0" w:after="283"/>
              <w:jc w:val="left"/>
              <w:rPr/>
            </w:pPr>
            <w:r>
              <w:rPr/>
              <w:t>Whitefort Capital GP, LLC</w:t>
            </w:r>
          </w:p>
        </w:tc>
      </w:tr>
      <w:tr>
        <w:trPr/>
        <w:tc>
          <w:tcPr>
            <w:tcW w:w="4422" w:type="dxa"/>
            <w:gridSpan w:val="3"/>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By:</w:t>
            </w:r>
          </w:p>
        </w:tc>
        <w:tc>
          <w:tcPr>
            <w:tcW w:w="3542"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Salanic</w:t>
            </w:r>
          </w:p>
        </w:tc>
        <w:tc>
          <w:tcPr>
            <w:tcW w:w="182"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David Salanic, Co-Managing Member</w:t>
            </w:r>
          </w:p>
        </w:tc>
      </w:tr>
      <w:tr>
        <w:trPr/>
        <w:tc>
          <w:tcPr>
            <w:tcW w:w="698" w:type="dxa"/>
            <w:tcBorders/>
            <w:vAlign w:val="center"/>
          </w:tcPr>
          <w:p>
            <w:pPr>
              <w:pStyle w:val="TableContents"/>
              <w:bidi w:val="0"/>
              <w:spacing w:before="0" w:after="283"/>
              <w:jc w:val="left"/>
              <w:rPr/>
            </w:pPr>
            <w:r>
              <w:rPr/>
              <w:t>Date:</w:t>
            </w:r>
          </w:p>
        </w:tc>
        <w:tc>
          <w:tcPr>
            <w:tcW w:w="3724" w:type="dxa"/>
            <w:gridSpan w:val="2"/>
            <w:tcBorders/>
            <w:vAlign w:val="center"/>
          </w:tcPr>
          <w:p>
            <w:pPr>
              <w:pStyle w:val="TableContents"/>
              <w:bidi w:val="0"/>
              <w:spacing w:before="0" w:after="283"/>
              <w:jc w:val="left"/>
              <w:rPr/>
            </w:pPr>
            <w:r>
              <w:rPr/>
              <w:t>09/04/2026</w:t>
            </w:r>
          </w:p>
        </w:tc>
      </w:tr>
      <w:tr>
        <w:trPr/>
        <w:tc>
          <w:tcPr>
            <w:tcW w:w="4422" w:type="dxa"/>
            <w:gridSpan w:val="3"/>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By:</w:t>
            </w:r>
          </w:p>
        </w:tc>
        <w:tc>
          <w:tcPr>
            <w:tcW w:w="3542"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Kaplan</w:t>
            </w:r>
          </w:p>
        </w:tc>
        <w:tc>
          <w:tcPr>
            <w:tcW w:w="182"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Joseph Kaplan, Co-Managing Member</w:t>
            </w:r>
          </w:p>
        </w:tc>
      </w:tr>
      <w:tr>
        <w:trPr/>
        <w:tc>
          <w:tcPr>
            <w:tcW w:w="698" w:type="dxa"/>
            <w:tcBorders/>
            <w:vAlign w:val="center"/>
          </w:tcPr>
          <w:p>
            <w:pPr>
              <w:pStyle w:val="TableContents"/>
              <w:bidi w:val="0"/>
              <w:spacing w:before="0" w:after="283"/>
              <w:jc w:val="left"/>
              <w:rPr/>
            </w:pPr>
            <w:r>
              <w:rPr/>
              <w:t>Date:</w:t>
            </w:r>
          </w:p>
        </w:tc>
        <w:tc>
          <w:tcPr>
            <w:tcW w:w="3724" w:type="dxa"/>
            <w:gridSpan w:val="2"/>
            <w:tcBorders/>
            <w:vAlign w:val="center"/>
          </w:tcPr>
          <w:p>
            <w:pPr>
              <w:pStyle w:val="TableContents"/>
              <w:bidi w:val="0"/>
              <w:spacing w:before="0" w:after="283"/>
              <w:jc w:val="left"/>
              <w:rPr/>
            </w:pPr>
            <w:r>
              <w:rPr/>
              <w:t>09/04/2026</w:t>
            </w:r>
          </w:p>
        </w:tc>
      </w:tr>
    </w:tbl>
    <w:p>
      <w:pPr>
        <w:pStyle w:val="TextBody"/>
        <w:bidi w:val="0"/>
        <w:jc w:val="left"/>
        <w:rPr>
          <w:caps w:val="false"/>
          <w:smallCaps w:val="false"/>
        </w:rPr>
      </w:pPr>
      <w:r>
        <w:rPr>
          <w:caps w:val="false"/>
          <w:smallCaps w:val="false"/>
        </w:rPr>
        <w:t> </w:t>
      </w:r>
    </w:p>
    <w:tbl>
      <w:tblPr>
        <w:tblW w:w="4496" w:type="dxa"/>
        <w:jc w:val="left"/>
        <w:tblInd w:w="0" w:type="dxa"/>
        <w:tblLayout w:type="fixed"/>
        <w:tblCellMar>
          <w:top w:w="0" w:type="dxa"/>
          <w:left w:w="0" w:type="dxa"/>
          <w:bottom w:w="0" w:type="dxa"/>
          <w:right w:w="0" w:type="dxa"/>
        </w:tblCellMar>
      </w:tblPr>
      <w:tblGrid>
        <w:gridCol w:w="892"/>
        <w:gridCol w:w="3429"/>
        <w:gridCol w:w="175"/>
      </w:tblGrid>
      <w:tr>
        <w:trPr/>
        <w:tc>
          <w:tcPr>
            <w:tcW w:w="4496" w:type="dxa"/>
            <w:gridSpan w:val="3"/>
            <w:tcBorders/>
            <w:vAlign w:val="center"/>
          </w:tcPr>
          <w:p>
            <w:pPr>
              <w:pStyle w:val="TableContents"/>
              <w:bidi w:val="0"/>
              <w:spacing w:before="0" w:after="283"/>
              <w:jc w:val="left"/>
              <w:rPr/>
            </w:pPr>
            <w:r>
              <w:rPr/>
              <w:t>Whitefort Capital Management, LP</w:t>
            </w:r>
          </w:p>
        </w:tc>
      </w:tr>
      <w:tr>
        <w:trPr/>
        <w:tc>
          <w:tcPr>
            <w:tcW w:w="4496" w:type="dxa"/>
            <w:gridSpan w:val="3"/>
            <w:tcBorders/>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pPr>
            <w:r>
              <w:rPr/>
              <w:t>By:</w:t>
            </w:r>
          </w:p>
        </w:tc>
        <w:tc>
          <w:tcPr>
            <w:tcW w:w="3429"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Salanic</w:t>
            </w:r>
          </w:p>
        </w:tc>
        <w:tc>
          <w:tcPr>
            <w:tcW w:w="175" w:type="dxa"/>
            <w:tcBorders/>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pPr>
            <w:r>
              <w:rPr/>
              <w:t>David Salanic, Co-Managing Partner</w:t>
            </w:r>
          </w:p>
        </w:tc>
      </w:tr>
      <w:tr>
        <w:trPr/>
        <w:tc>
          <w:tcPr>
            <w:tcW w:w="892" w:type="dxa"/>
            <w:tcBorders/>
            <w:vAlign w:val="center"/>
          </w:tcPr>
          <w:p>
            <w:pPr>
              <w:pStyle w:val="TableContents"/>
              <w:bidi w:val="0"/>
              <w:spacing w:before="0" w:after="283"/>
              <w:jc w:val="left"/>
              <w:rPr/>
            </w:pPr>
            <w:r>
              <w:rPr/>
              <w:t>Date:</w:t>
            </w:r>
          </w:p>
        </w:tc>
        <w:tc>
          <w:tcPr>
            <w:tcW w:w="3604" w:type="dxa"/>
            <w:gridSpan w:val="2"/>
            <w:tcBorders/>
            <w:vAlign w:val="center"/>
          </w:tcPr>
          <w:p>
            <w:pPr>
              <w:pStyle w:val="TableContents"/>
              <w:bidi w:val="0"/>
              <w:spacing w:before="0" w:after="283"/>
              <w:jc w:val="left"/>
              <w:rPr/>
            </w:pPr>
            <w:r>
              <w:rPr/>
              <w:t>09/04/2026</w:t>
            </w:r>
          </w:p>
        </w:tc>
      </w:tr>
      <w:tr>
        <w:trPr/>
        <w:tc>
          <w:tcPr>
            <w:tcW w:w="4496" w:type="dxa"/>
            <w:gridSpan w:val="3"/>
            <w:tcBorders/>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pPr>
            <w:r>
              <w:rPr/>
              <w:t>By:</w:t>
            </w:r>
          </w:p>
        </w:tc>
        <w:tc>
          <w:tcPr>
            <w:tcW w:w="3429"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Kaplan</w:t>
            </w:r>
          </w:p>
        </w:tc>
        <w:tc>
          <w:tcPr>
            <w:tcW w:w="175" w:type="dxa"/>
            <w:tcBorders/>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pPr>
            <w:r>
              <w:rPr/>
              <w:t>Joseph Kaplan, Co-Managing Partner</w:t>
            </w:r>
          </w:p>
        </w:tc>
      </w:tr>
      <w:tr>
        <w:trPr/>
        <w:tc>
          <w:tcPr>
            <w:tcW w:w="892" w:type="dxa"/>
            <w:tcBorders/>
            <w:vAlign w:val="center"/>
          </w:tcPr>
          <w:p>
            <w:pPr>
              <w:pStyle w:val="TableContents"/>
              <w:bidi w:val="0"/>
              <w:spacing w:before="0" w:after="283"/>
              <w:jc w:val="left"/>
              <w:rPr/>
            </w:pPr>
            <w:r>
              <w:rPr/>
              <w:t>Date:</w:t>
            </w:r>
          </w:p>
        </w:tc>
        <w:tc>
          <w:tcPr>
            <w:tcW w:w="3604" w:type="dxa"/>
            <w:gridSpan w:val="2"/>
            <w:tcBorders/>
            <w:vAlign w:val="center"/>
          </w:tcPr>
          <w:p>
            <w:pPr>
              <w:pStyle w:val="TableContents"/>
              <w:bidi w:val="0"/>
              <w:spacing w:before="0" w:after="283"/>
              <w:jc w:val="left"/>
              <w:rPr/>
            </w:pPr>
            <w:r>
              <w:rPr/>
              <w:t>09/04/2026</w:t>
            </w:r>
          </w:p>
        </w:tc>
      </w:tr>
    </w:tbl>
    <w:p>
      <w:pPr>
        <w:pStyle w:val="TextBody"/>
        <w:bidi w:val="0"/>
        <w:jc w:val="left"/>
        <w:rPr>
          <w:caps w:val="false"/>
          <w:smallCaps w:val="false"/>
        </w:rPr>
      </w:pPr>
      <w:r>
        <w:rPr>
          <w:caps w:val="false"/>
          <w:smallCaps w:val="false"/>
        </w:rPr>
        <w:t> </w:t>
      </w:r>
    </w:p>
    <w:tbl>
      <w:tblPr>
        <w:tblW w:w="4762" w:type="dxa"/>
        <w:jc w:val="left"/>
        <w:tblInd w:w="0" w:type="dxa"/>
        <w:tblLayout w:type="fixed"/>
        <w:tblCellMar>
          <w:top w:w="0" w:type="dxa"/>
          <w:left w:w="0" w:type="dxa"/>
          <w:bottom w:w="0" w:type="dxa"/>
          <w:right w:w="0" w:type="dxa"/>
        </w:tblCellMar>
      </w:tblPr>
      <w:tblGrid>
        <w:gridCol w:w="1038"/>
        <w:gridCol w:w="3543"/>
        <w:gridCol w:w="181"/>
      </w:tblGrid>
      <w:tr>
        <w:trPr/>
        <w:tc>
          <w:tcPr>
            <w:tcW w:w="4762" w:type="dxa"/>
            <w:gridSpan w:val="3"/>
            <w:tcBorders/>
            <w:vAlign w:val="center"/>
          </w:tcPr>
          <w:p>
            <w:pPr>
              <w:pStyle w:val="TableContents"/>
              <w:bidi w:val="0"/>
              <w:spacing w:before="0" w:after="283"/>
              <w:jc w:val="left"/>
              <w:rPr/>
            </w:pPr>
            <w:r>
              <w:rPr/>
              <w:t>Whitefort Capital Management GP, LLC</w:t>
            </w:r>
          </w:p>
        </w:tc>
      </w:tr>
      <w:tr>
        <w:trPr/>
        <w:tc>
          <w:tcPr>
            <w:tcW w:w="4762" w:type="dxa"/>
            <w:gridSpan w:val="3"/>
            <w:tcBorders/>
            <w:vAlign w:val="center"/>
          </w:tcPr>
          <w:p>
            <w:pPr>
              <w:pStyle w:val="TableContents"/>
              <w:bidi w:val="0"/>
              <w:spacing w:before="0" w:after="283"/>
              <w:jc w:val="left"/>
              <w:rPr/>
            </w:pPr>
            <w:r>
              <w:rPr/>
              <w:t> </w:t>
            </w:r>
          </w:p>
        </w:tc>
      </w:tr>
      <w:tr>
        <w:trPr/>
        <w:tc>
          <w:tcPr>
            <w:tcW w:w="1038" w:type="dxa"/>
            <w:tcBorders/>
            <w:vAlign w:val="center"/>
          </w:tcPr>
          <w:p>
            <w:pPr>
              <w:pStyle w:val="TableContents"/>
              <w:bidi w:val="0"/>
              <w:spacing w:before="0" w:after="283"/>
              <w:jc w:val="left"/>
              <w:rPr/>
            </w:pPr>
            <w:r>
              <w:rPr/>
              <w:t>By:</w:t>
            </w:r>
          </w:p>
        </w:tc>
        <w:tc>
          <w:tcPr>
            <w:tcW w:w="354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Salanic</w:t>
            </w:r>
          </w:p>
        </w:tc>
        <w:tc>
          <w:tcPr>
            <w:tcW w:w="181" w:type="dxa"/>
            <w:tcBorders/>
            <w:vAlign w:val="center"/>
          </w:tcPr>
          <w:p>
            <w:pPr>
              <w:pStyle w:val="TableContents"/>
              <w:bidi w:val="0"/>
              <w:spacing w:before="0" w:after="283"/>
              <w:jc w:val="left"/>
              <w:rPr/>
            </w:pPr>
            <w:r>
              <w:rPr/>
              <w:t> </w:t>
            </w:r>
          </w:p>
        </w:tc>
      </w:tr>
      <w:tr>
        <w:trPr/>
        <w:tc>
          <w:tcPr>
            <w:tcW w:w="1038"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David Salanic, Co-Managing Member</w:t>
            </w:r>
          </w:p>
        </w:tc>
      </w:tr>
      <w:tr>
        <w:trPr/>
        <w:tc>
          <w:tcPr>
            <w:tcW w:w="1038" w:type="dxa"/>
            <w:tcBorders/>
            <w:vAlign w:val="center"/>
          </w:tcPr>
          <w:p>
            <w:pPr>
              <w:pStyle w:val="TableContents"/>
              <w:bidi w:val="0"/>
              <w:spacing w:before="0" w:after="283"/>
              <w:jc w:val="left"/>
              <w:rPr/>
            </w:pPr>
            <w:r>
              <w:rPr/>
              <w:t>Date:</w:t>
            </w:r>
          </w:p>
        </w:tc>
        <w:tc>
          <w:tcPr>
            <w:tcW w:w="3724" w:type="dxa"/>
            <w:gridSpan w:val="2"/>
            <w:tcBorders/>
            <w:vAlign w:val="center"/>
          </w:tcPr>
          <w:p>
            <w:pPr>
              <w:pStyle w:val="TableContents"/>
              <w:bidi w:val="0"/>
              <w:spacing w:before="0" w:after="283"/>
              <w:jc w:val="left"/>
              <w:rPr/>
            </w:pPr>
            <w:r>
              <w:rPr/>
              <w:t>09/04/2026</w:t>
            </w:r>
          </w:p>
        </w:tc>
      </w:tr>
      <w:tr>
        <w:trPr/>
        <w:tc>
          <w:tcPr>
            <w:tcW w:w="4762" w:type="dxa"/>
            <w:gridSpan w:val="3"/>
            <w:tcBorders/>
            <w:vAlign w:val="center"/>
          </w:tcPr>
          <w:p>
            <w:pPr>
              <w:pStyle w:val="TableContents"/>
              <w:bidi w:val="0"/>
              <w:spacing w:before="0" w:after="283"/>
              <w:jc w:val="left"/>
              <w:rPr/>
            </w:pPr>
            <w:r>
              <w:rPr/>
              <w:t> </w:t>
            </w:r>
          </w:p>
        </w:tc>
      </w:tr>
      <w:tr>
        <w:trPr/>
        <w:tc>
          <w:tcPr>
            <w:tcW w:w="1038" w:type="dxa"/>
            <w:tcBorders/>
            <w:vAlign w:val="center"/>
          </w:tcPr>
          <w:p>
            <w:pPr>
              <w:pStyle w:val="TableContents"/>
              <w:bidi w:val="0"/>
              <w:spacing w:before="0" w:after="283"/>
              <w:jc w:val="left"/>
              <w:rPr/>
            </w:pPr>
            <w:r>
              <w:rPr/>
              <w:t>By:</w:t>
            </w:r>
          </w:p>
        </w:tc>
        <w:tc>
          <w:tcPr>
            <w:tcW w:w="354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Kaplan</w:t>
            </w:r>
          </w:p>
        </w:tc>
        <w:tc>
          <w:tcPr>
            <w:tcW w:w="181" w:type="dxa"/>
            <w:tcBorders/>
            <w:vAlign w:val="center"/>
          </w:tcPr>
          <w:p>
            <w:pPr>
              <w:pStyle w:val="TableContents"/>
              <w:bidi w:val="0"/>
              <w:spacing w:before="0" w:after="283"/>
              <w:jc w:val="left"/>
              <w:rPr/>
            </w:pPr>
            <w:r>
              <w:rPr/>
              <w:t> </w:t>
            </w:r>
          </w:p>
        </w:tc>
      </w:tr>
      <w:tr>
        <w:trPr/>
        <w:tc>
          <w:tcPr>
            <w:tcW w:w="1038"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Joseph Kaplan, Co-Managing Member</w:t>
            </w:r>
          </w:p>
        </w:tc>
      </w:tr>
      <w:tr>
        <w:trPr/>
        <w:tc>
          <w:tcPr>
            <w:tcW w:w="1038" w:type="dxa"/>
            <w:tcBorders/>
            <w:vAlign w:val="center"/>
          </w:tcPr>
          <w:p>
            <w:pPr>
              <w:pStyle w:val="TableContents"/>
              <w:bidi w:val="0"/>
              <w:spacing w:before="0" w:after="283"/>
              <w:jc w:val="left"/>
              <w:rPr/>
            </w:pPr>
            <w:r>
              <w:rPr/>
              <w:t>Date:</w:t>
            </w:r>
          </w:p>
        </w:tc>
        <w:tc>
          <w:tcPr>
            <w:tcW w:w="3724" w:type="dxa"/>
            <w:gridSpan w:val="2"/>
            <w:tcBorders/>
            <w:vAlign w:val="center"/>
          </w:tcPr>
          <w:p>
            <w:pPr>
              <w:pStyle w:val="TableContents"/>
              <w:bidi w:val="0"/>
              <w:spacing w:before="0" w:after="283"/>
              <w:jc w:val="left"/>
              <w:rPr/>
            </w:pPr>
            <w:r>
              <w:rPr/>
              <w:t>09/04/2026</w:t>
            </w:r>
          </w:p>
        </w:tc>
      </w:tr>
    </w:tbl>
    <w:p>
      <w:pPr>
        <w:pStyle w:val="TextBody"/>
        <w:bidi w:val="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545"/>
        <w:gridCol w:w="1400"/>
        <w:gridCol w:w="75"/>
      </w:tblGrid>
      <w:tr>
        <w:trPr/>
        <w:tc>
          <w:tcPr>
            <w:tcW w:w="2020" w:type="dxa"/>
            <w:gridSpan w:val="3"/>
            <w:tcBorders/>
            <w:vAlign w:val="center"/>
          </w:tcPr>
          <w:p>
            <w:pPr>
              <w:pStyle w:val="TableContents"/>
              <w:bidi w:val="0"/>
              <w:spacing w:before="0" w:after="283"/>
              <w:jc w:val="left"/>
              <w:rPr/>
            </w:pPr>
            <w:r>
              <w:rPr/>
              <w:t>David Salanic</w:t>
            </w:r>
          </w:p>
        </w:tc>
      </w:tr>
      <w:tr>
        <w:trPr/>
        <w:tc>
          <w:tcPr>
            <w:tcW w:w="202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40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Salanic</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David Salanic</w:t>
            </w:r>
          </w:p>
        </w:tc>
      </w:tr>
      <w:tr>
        <w:trPr/>
        <w:tc>
          <w:tcPr>
            <w:tcW w:w="545" w:type="dxa"/>
            <w:tcBorders/>
            <w:vAlign w:val="center"/>
          </w:tcPr>
          <w:p>
            <w:pPr>
              <w:pStyle w:val="TableContents"/>
              <w:bidi w:val="0"/>
              <w:spacing w:before="0" w:after="283"/>
              <w:jc w:val="left"/>
              <w:rPr/>
            </w:pPr>
            <w:r>
              <w:rPr/>
              <w:t>Date:</w:t>
            </w:r>
          </w:p>
        </w:tc>
        <w:tc>
          <w:tcPr>
            <w:tcW w:w="1475" w:type="dxa"/>
            <w:gridSpan w:val="2"/>
            <w:tcBorders/>
            <w:vAlign w:val="center"/>
          </w:tcPr>
          <w:p>
            <w:pPr>
              <w:pStyle w:val="TableContents"/>
              <w:bidi w:val="0"/>
              <w:spacing w:before="0" w:after="283"/>
              <w:jc w:val="left"/>
              <w:rPr/>
            </w:pPr>
            <w:r>
              <w:rPr/>
              <w:t>09/04/2026</w:t>
            </w:r>
          </w:p>
        </w:tc>
      </w:tr>
    </w:tbl>
    <w:p>
      <w:pPr>
        <w:pStyle w:val="TextBody"/>
        <w:bidi w:val="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545"/>
        <w:gridCol w:w="1445"/>
        <w:gridCol w:w="75"/>
      </w:tblGrid>
      <w:tr>
        <w:trPr/>
        <w:tc>
          <w:tcPr>
            <w:tcW w:w="2065" w:type="dxa"/>
            <w:gridSpan w:val="3"/>
            <w:tcBorders/>
            <w:vAlign w:val="center"/>
          </w:tcPr>
          <w:p>
            <w:pPr>
              <w:pStyle w:val="TableContents"/>
              <w:bidi w:val="0"/>
              <w:spacing w:before="0" w:after="283"/>
              <w:jc w:val="left"/>
              <w:rPr/>
            </w:pPr>
            <w:r>
              <w:rPr/>
              <w:t>Joseph Kaplan</w:t>
            </w:r>
          </w:p>
        </w:tc>
      </w:tr>
      <w:tr>
        <w:trPr/>
        <w:tc>
          <w:tcPr>
            <w:tcW w:w="2065"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44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Kaplan</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left"/>
              <w:rPr/>
            </w:pPr>
            <w:r>
              <w:rPr/>
              <w:t>Joseph Kaplan</w:t>
            </w:r>
          </w:p>
        </w:tc>
      </w:tr>
      <w:tr>
        <w:trPr/>
        <w:tc>
          <w:tcPr>
            <w:tcW w:w="545" w:type="dxa"/>
            <w:tcBorders/>
            <w:vAlign w:val="center"/>
          </w:tcPr>
          <w:p>
            <w:pPr>
              <w:pStyle w:val="TableContents"/>
              <w:bidi w:val="0"/>
              <w:spacing w:before="0" w:after="283"/>
              <w:jc w:val="left"/>
              <w:rPr/>
            </w:pPr>
            <w:r>
              <w:rPr/>
              <w:t>Date:</w:t>
            </w:r>
          </w:p>
        </w:tc>
        <w:tc>
          <w:tcPr>
            <w:tcW w:w="1520" w:type="dxa"/>
            <w:gridSpan w:val="2"/>
            <w:tcBorders/>
            <w:vAlign w:val="center"/>
          </w:tcPr>
          <w:p>
            <w:pPr>
              <w:pStyle w:val="TableContents"/>
              <w:bidi w:val="0"/>
              <w:spacing w:before="0" w:after="283"/>
              <w:jc w:val="left"/>
              <w:rPr/>
            </w:pPr>
            <w:r>
              <w:rPr/>
              <w:t>09/04/2026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2471</Words>
  <Characters>13239</Characters>
  <CharactersWithSpaces>15555</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