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left"/>
        <w:rPr>
          <w:bdr w:val="single" w:sz="16" w:space="1" w:color="000000"/>
        </w:rPr>
      </w:pPr>
      <w:bookmarkStart w:id="0" w:name="f8k_081226.htm"/>
      <w:bookmarkStart w:id="1" w:name="ksf8k_081226"/>
      <w:bookmarkEnd w:id="0"/>
      <w:bookmarkEnd w:id="1"/>
      <w:r>
        <w:rPr>
          <w:bdr w:val="single" w:sz="16" w:space="1" w:color="000000"/>
        </w:rPr>
        <w:t> </w:t>
      </w:r>
    </w:p>
    <w:p>
      <w:pPr>
        <w:pStyle w:val="TextBody"/>
        <w:bidi w:val="0"/>
        <w:spacing w:before="120" w:after="0"/>
        <w:jc w:val="center"/>
        <w:rPr>
          <w:b/>
          <w:sz w:val="28"/>
        </w:rPr>
      </w:pPr>
      <w:r>
        <w:rPr>
          <w:b/>
          <w:sz w:val="28"/>
        </w:rPr>
        <w:t>UNITED STATES</w:t>
      </w:r>
    </w:p>
    <w:p>
      <w:pPr>
        <w:pStyle w:val="TextBody"/>
        <w:bidi w:val="0"/>
        <w:spacing w:before="0" w:after="0"/>
        <w:jc w:val="center"/>
        <w:rPr>
          <w:b/>
          <w:sz w:val="28"/>
        </w:rPr>
      </w:pPr>
      <w:r>
        <w:rPr>
          <w:b/>
          <w:sz w:val="28"/>
        </w:rPr>
        <w:t>SECURITIES AND EXCHANGE COMMISSION</w:t>
      </w:r>
    </w:p>
    <w:p>
      <w:pPr>
        <w:pStyle w:val="TextBody"/>
        <w:bidi w:val="0"/>
        <w:spacing w:before="0" w:after="120"/>
        <w:jc w:val="center"/>
        <w:rPr>
          <w:b/>
          <w:sz w:val="28"/>
        </w:rPr>
      </w:pPr>
      <w:r>
        <w:rPr>
          <w:b/>
          <w:sz w:val="28"/>
        </w:rPr>
        <w:t>Washington, D.C. 20549</w:t>
      </w:r>
    </w:p>
    <w:p>
      <w:pPr>
        <w:pStyle w:val="TextBody"/>
        <w:bidi w:val="0"/>
        <w:jc w:val="center"/>
        <w:rPr/>
      </w:pPr>
      <w:r>
        <w:rPr/>
        <w:t>_________________</w:t>
      </w:r>
    </w:p>
    <w:p>
      <w:pPr>
        <w:pStyle w:val="TextBody"/>
        <w:bidi w:val="0"/>
        <w:spacing w:before="120" w:after="120"/>
        <w:jc w:val="center"/>
        <w:rPr>
          <w:b/>
          <w:sz w:val="28"/>
        </w:rPr>
      </w:pPr>
      <w:r>
        <w:rPr>
          <w:b/>
          <w:sz w:val="28"/>
        </w:rPr>
        <w:t>FORM 8-K</w:t>
      </w:r>
    </w:p>
    <w:p>
      <w:pPr>
        <w:pStyle w:val="TextBody"/>
        <w:bidi w:val="0"/>
        <w:jc w:val="center"/>
        <w:rPr/>
      </w:pPr>
      <w:r>
        <w:rPr/>
        <w:t>_________________</w:t>
      </w:r>
    </w:p>
    <w:p>
      <w:pPr>
        <w:pStyle w:val="TextBody"/>
        <w:bidi w:val="0"/>
        <w:spacing w:before="120" w:after="120"/>
        <w:jc w:val="center"/>
        <w:rPr>
          <w:b/>
          <w:sz w:val="24"/>
        </w:rPr>
      </w:pPr>
      <w:r>
        <w:rPr>
          <w:b/>
          <w:sz w:val="24"/>
        </w:rPr>
        <w:t>CURRENT REPORT</w:t>
      </w:r>
    </w:p>
    <w:p>
      <w:pPr>
        <w:pStyle w:val="TextBody"/>
        <w:bidi w:val="0"/>
        <w:spacing w:before="120" w:after="120"/>
        <w:jc w:val="center"/>
        <w:rPr>
          <w:b/>
          <w:sz w:val="24"/>
        </w:rPr>
      </w:pPr>
      <w:r>
        <w:rPr>
          <w:b/>
          <w:sz w:val="24"/>
        </w:rPr>
        <w:t>Pursuant to Section 13 or 15(d)</w:t>
        <w:br/>
        <w:t>of the Securities Exchange Act of 1934</w:t>
      </w:r>
    </w:p>
    <w:p>
      <w:pPr>
        <w:pStyle w:val="TextBody"/>
        <w:bidi w:val="0"/>
        <w:spacing w:before="120" w:after="120"/>
        <w:jc w:val="center"/>
        <w:rPr>
          <w:b/>
          <w:sz w:val="20"/>
        </w:rPr>
      </w:pPr>
      <w:r>
        <w:rPr>
          <w:b/>
          <w:sz w:val="20"/>
        </w:rPr>
        <w:t>Date of Report (Date of earliest event reported):  August 12, 2026</w:t>
      </w:r>
    </w:p>
    <w:p>
      <w:pPr>
        <w:pStyle w:val="TextBody"/>
        <w:bidi w:val="0"/>
        <w:jc w:val="center"/>
        <w:rPr/>
      </w:pPr>
      <w:r>
        <w:rPr/>
        <w:t>_______________________________</w:t>
      </w:r>
    </w:p>
    <w:p>
      <w:pPr>
        <w:pStyle w:val="TextBody"/>
        <w:bidi w:val="0"/>
        <w:spacing w:before="120" w:after="283"/>
        <w:jc w:val="center"/>
        <w:rPr>
          <w:b/>
          <w:sz w:val="24"/>
        </w:rPr>
      </w:pPr>
      <w:r>
        <w:rPr>
          <w:b/>
          <w:sz w:val="24"/>
        </w:rPr>
        <w:t>Arbutus Biopharma Corporation</w:t>
      </w:r>
    </w:p>
    <w:p>
      <w:pPr>
        <w:pStyle w:val="TextBody"/>
        <w:bidi w:val="0"/>
        <w:spacing w:before="0" w:after="120"/>
        <w:jc w:val="center"/>
        <w:rPr>
          <w:sz w:val="20"/>
        </w:rPr>
      </w:pPr>
      <w:r>
        <w:rPr>
          <w:sz w:val="20"/>
        </w:rPr>
        <w:t>(Exact name of registrant as specified in its charter)</w:t>
      </w:r>
    </w:p>
    <w:p>
      <w:pPr>
        <w:pStyle w:val="TextBody"/>
        <w:bidi w:val="0"/>
        <w:jc w:val="center"/>
        <w:rPr/>
      </w:pPr>
      <w:r>
        <w:rPr/>
        <w:t>_______________________________</w:t>
      </w:r>
    </w:p>
    <w:tbl>
      <w:tblPr>
        <w:tblW w:w="8730" w:type="dxa"/>
        <w:jc w:val="left"/>
        <w:tblInd w:w="0" w:type="dxa"/>
        <w:tblLayout w:type="fixed"/>
        <w:tblCellMar>
          <w:top w:w="0" w:type="dxa"/>
          <w:left w:w="0" w:type="dxa"/>
          <w:bottom w:w="0" w:type="dxa"/>
          <w:right w:w="0" w:type="dxa"/>
        </w:tblCellMar>
      </w:tblPr>
      <w:tblGrid>
        <w:gridCol w:w="3620"/>
        <w:gridCol w:w="2210"/>
        <w:gridCol w:w="2900"/>
      </w:tblGrid>
      <w:tr>
        <w:trPr/>
        <w:tc>
          <w:tcPr>
            <w:tcW w:w="3620" w:type="dxa"/>
            <w:tcBorders/>
            <w:vAlign w:val="center"/>
          </w:tcPr>
          <w:p>
            <w:pPr>
              <w:pStyle w:val="TableContents"/>
              <w:bidi w:val="0"/>
              <w:spacing w:before="0" w:after="283"/>
              <w:jc w:val="center"/>
              <w:rPr>
                <w:b/>
                <w:sz w:val="20"/>
              </w:rPr>
            </w:pPr>
            <w:r>
              <w:rPr>
                <w:b/>
                <w:sz w:val="20"/>
              </w:rPr>
              <w:t>British Columbia, Canada</w:t>
            </w:r>
          </w:p>
        </w:tc>
        <w:tc>
          <w:tcPr>
            <w:tcW w:w="2210" w:type="dxa"/>
            <w:tcBorders/>
            <w:vAlign w:val="center"/>
          </w:tcPr>
          <w:p>
            <w:pPr>
              <w:pStyle w:val="TableContents"/>
              <w:bidi w:val="0"/>
              <w:spacing w:before="0" w:after="283"/>
              <w:jc w:val="center"/>
              <w:rPr>
                <w:b/>
                <w:sz w:val="20"/>
              </w:rPr>
            </w:pPr>
            <w:r>
              <w:rPr>
                <w:b/>
                <w:sz w:val="20"/>
              </w:rPr>
              <w:t>001-34949</w:t>
            </w:r>
          </w:p>
        </w:tc>
        <w:tc>
          <w:tcPr>
            <w:tcW w:w="2900" w:type="dxa"/>
            <w:tcBorders/>
            <w:vAlign w:val="center"/>
          </w:tcPr>
          <w:p>
            <w:pPr>
              <w:pStyle w:val="TableContents"/>
              <w:bidi w:val="0"/>
              <w:spacing w:before="0" w:after="283"/>
              <w:jc w:val="center"/>
              <w:rPr>
                <w:b/>
                <w:sz w:val="20"/>
              </w:rPr>
            </w:pPr>
            <w:r>
              <w:rPr>
                <w:b/>
                <w:sz w:val="20"/>
              </w:rPr>
              <w:t>98-0597776</w:t>
            </w:r>
          </w:p>
        </w:tc>
      </w:tr>
      <w:tr>
        <w:trPr/>
        <w:tc>
          <w:tcPr>
            <w:tcW w:w="3620" w:type="dxa"/>
            <w:tcBorders/>
            <w:vAlign w:val="center"/>
          </w:tcPr>
          <w:p>
            <w:pPr>
              <w:pStyle w:val="TableContents"/>
              <w:bidi w:val="0"/>
              <w:spacing w:before="0" w:after="283"/>
              <w:jc w:val="center"/>
              <w:rPr>
                <w:sz w:val="20"/>
              </w:rPr>
            </w:pPr>
            <w:r>
              <w:rPr>
                <w:sz w:val="20"/>
              </w:rPr>
              <w:t>(State or Other Jurisdiction of Incorporation)</w:t>
            </w:r>
          </w:p>
        </w:tc>
        <w:tc>
          <w:tcPr>
            <w:tcW w:w="2210" w:type="dxa"/>
            <w:tcBorders/>
            <w:vAlign w:val="center"/>
          </w:tcPr>
          <w:p>
            <w:pPr>
              <w:pStyle w:val="TableContents"/>
              <w:bidi w:val="0"/>
              <w:spacing w:before="0" w:after="283"/>
              <w:jc w:val="center"/>
              <w:rPr>
                <w:sz w:val="20"/>
              </w:rPr>
            </w:pPr>
            <w:r>
              <w:rPr>
                <w:sz w:val="20"/>
              </w:rPr>
              <w:t>(Commission File Number)</w:t>
            </w:r>
          </w:p>
        </w:tc>
        <w:tc>
          <w:tcPr>
            <w:tcW w:w="2900"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240" w:after="0"/>
        <w:jc w:val="center"/>
        <w:rPr>
          <w:b/>
          <w:sz w:val="20"/>
        </w:rPr>
      </w:pPr>
      <w:r>
        <w:rPr>
          <w:b/>
          <w:sz w:val="20"/>
        </w:rPr>
        <w:t>701 Veterans Circle</w:t>
      </w:r>
    </w:p>
    <w:p>
      <w:pPr>
        <w:pStyle w:val="TextBody"/>
        <w:bidi w:val="0"/>
        <w:spacing w:before="0" w:after="0"/>
        <w:jc w:val="center"/>
        <w:rPr>
          <w:b/>
          <w:sz w:val="20"/>
        </w:rPr>
      </w:pPr>
      <w:r>
        <w:rPr>
          <w:b/>
          <w:sz w:val="20"/>
        </w:rPr>
        <w:t>Warminster, Pennsylvania 18974</w:t>
      </w:r>
    </w:p>
    <w:p>
      <w:pPr>
        <w:pStyle w:val="TextBody"/>
        <w:bidi w:val="0"/>
        <w:spacing w:before="0" w:after="120"/>
        <w:jc w:val="center"/>
        <w:rPr>
          <w:sz w:val="20"/>
        </w:rPr>
      </w:pPr>
      <w:r>
        <w:rPr>
          <w:sz w:val="20"/>
        </w:rPr>
        <w:t>(Address of Principal Executive Offices) (Zip Code)</w:t>
      </w:r>
    </w:p>
    <w:p>
      <w:pPr>
        <w:pStyle w:val="TextBody"/>
        <w:bidi w:val="0"/>
        <w:spacing w:before="0" w:after="0"/>
        <w:jc w:val="center"/>
        <w:rPr>
          <w:b/>
          <w:sz w:val="20"/>
        </w:rPr>
      </w:pPr>
      <w:r>
        <w:rPr>
          <w:b/>
          <w:sz w:val="20"/>
        </w:rPr>
        <w:t>(267) 469-0914</w:t>
      </w:r>
    </w:p>
    <w:p>
      <w:pPr>
        <w:pStyle w:val="TextBody"/>
        <w:bidi w:val="0"/>
        <w:spacing w:before="0" w:after="120"/>
        <w:jc w:val="center"/>
        <w:rPr>
          <w:sz w:val="20"/>
        </w:rPr>
      </w:pPr>
      <w:r>
        <w:rPr>
          <w:sz w:val="20"/>
        </w:rPr>
        <w:t>(Registrant's telephone number, including area code)</w:t>
      </w:r>
    </w:p>
    <w:p>
      <w:pPr>
        <w:pStyle w:val="TextBody"/>
        <w:bidi w:val="0"/>
        <w:spacing w:before="0" w:after="0"/>
        <w:jc w:val="center"/>
        <w:rPr/>
      </w:pPr>
      <w:r>
        <w:rPr/>
        <w:t> </w:t>
      </w:r>
    </w:p>
    <w:p>
      <w:pPr>
        <w:pStyle w:val="TextBody"/>
        <w:bidi w:val="0"/>
        <w:spacing w:before="0" w:after="0"/>
        <w:jc w:val="center"/>
        <w:rPr>
          <w:sz w:val="20"/>
        </w:rPr>
      </w:pPr>
      <w:r>
        <w:rPr>
          <w:sz w:val="20"/>
        </w:rPr>
        <w:t>(Former name or former address, if changed since last report)</w:t>
      </w:r>
    </w:p>
    <w:p>
      <w:pPr>
        <w:pStyle w:val="TextBody"/>
        <w:bidi w:val="0"/>
        <w:jc w:val="center"/>
        <w:rPr/>
      </w:pPr>
      <w:r>
        <w:rPr/>
        <w:t>_______________________________</w:t>
      </w:r>
    </w:p>
    <w:p>
      <w:pPr>
        <w:pStyle w:val="TextBody"/>
        <w:bidi w:val="0"/>
        <w:spacing w:before="120" w:after="120"/>
        <w:jc w:val="left"/>
        <w:rPr>
          <w:sz w:val="20"/>
        </w:rPr>
      </w:pPr>
      <w:r>
        <w:rPr>
          <w:sz w:val="20"/>
        </w:rPr>
        <w:t>Check the appropriate box below if the Form 8-K filing is intended to simultaneously satisfy the filing obligation of the registrant under any of the following provisions:</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Soliciting material pursuant to Rule 14a-12 under the Exchange Act (17 CFR 240.14a-12)</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120" w:after="120"/>
        <w:jc w:val="left"/>
        <w:rPr>
          <w:sz w:val="20"/>
        </w:rPr>
      </w:pPr>
      <w:r>
        <w:rPr>
          <w:sz w:val="20"/>
        </w:rPr>
        <w:t>Securities registered pursuant to Section 12(b) of the Act:</w:t>
      </w:r>
    </w:p>
    <w:tbl>
      <w:tblPr>
        <w:tblW w:w="7965" w:type="dxa"/>
        <w:jc w:val="left"/>
        <w:tblInd w:w="0" w:type="dxa"/>
        <w:tblLayout w:type="fixed"/>
        <w:tblCellMar>
          <w:top w:w="0" w:type="dxa"/>
          <w:left w:w="0" w:type="dxa"/>
          <w:bottom w:w="28" w:type="dxa"/>
          <w:right w:w="0" w:type="dxa"/>
        </w:tblCellMar>
      </w:tblPr>
      <w:tblGrid>
        <w:gridCol w:w="2855"/>
        <w:gridCol w:w="1535"/>
        <w:gridCol w:w="3575"/>
      </w:tblGrid>
      <w:tr>
        <w:trPr/>
        <w:tc>
          <w:tcPr>
            <w:tcW w:w="2855" w:type="dxa"/>
            <w:tcBorders>
              <w:bottom w:val="single" w:sz="8" w:space="0" w:color="000000"/>
            </w:tcBorders>
            <w:vAlign w:val="center"/>
          </w:tcPr>
          <w:p>
            <w:pPr>
              <w:pStyle w:val="TableContents"/>
              <w:bidi w:val="0"/>
              <w:spacing w:before="120" w:after="120"/>
              <w:jc w:val="center"/>
              <w:rPr>
                <w:sz w:val="20"/>
              </w:rPr>
            </w:pPr>
            <w:r>
              <w:rPr>
                <w:sz w:val="20"/>
              </w:rPr>
              <w:t>Title of each class</w:t>
            </w:r>
          </w:p>
        </w:tc>
        <w:tc>
          <w:tcPr>
            <w:tcW w:w="1535" w:type="dxa"/>
            <w:tcBorders>
              <w:bottom w:val="single" w:sz="8" w:space="0" w:color="000000"/>
            </w:tcBorders>
            <w:vAlign w:val="center"/>
          </w:tcPr>
          <w:p>
            <w:pPr>
              <w:pStyle w:val="TableContents"/>
              <w:bidi w:val="0"/>
              <w:spacing w:before="120" w:after="120"/>
              <w:jc w:val="center"/>
              <w:rPr>
                <w:sz w:val="20"/>
              </w:rPr>
            </w:pPr>
            <w:r>
              <w:rPr>
                <w:sz w:val="20"/>
              </w:rPr>
              <w:t>Trading Symbol(s)</w:t>
            </w:r>
          </w:p>
        </w:tc>
        <w:tc>
          <w:tcPr>
            <w:tcW w:w="3575" w:type="dxa"/>
            <w:tcBorders>
              <w:bottom w:val="single" w:sz="8" w:space="0" w:color="000000"/>
            </w:tcBorders>
            <w:vAlign w:val="center"/>
          </w:tcPr>
          <w:p>
            <w:pPr>
              <w:pStyle w:val="TableContents"/>
              <w:bidi w:val="0"/>
              <w:spacing w:before="120" w:after="120"/>
              <w:jc w:val="center"/>
              <w:rPr>
                <w:sz w:val="20"/>
              </w:rPr>
            </w:pPr>
            <w:r>
              <w:rPr>
                <w:sz w:val="20"/>
              </w:rPr>
              <w:t>Name of each exchange on which registered</w:t>
            </w:r>
          </w:p>
        </w:tc>
      </w:tr>
      <w:tr>
        <w:trPr/>
        <w:tc>
          <w:tcPr>
            <w:tcW w:w="2855" w:type="dxa"/>
            <w:tcBorders/>
            <w:tcMar>
              <w:bottom w:w="0" w:type="dxa"/>
            </w:tcMar>
            <w:vAlign w:val="center"/>
          </w:tcPr>
          <w:p>
            <w:pPr>
              <w:pStyle w:val="TableContents"/>
              <w:bidi w:val="0"/>
              <w:spacing w:before="0" w:after="283"/>
              <w:jc w:val="center"/>
              <w:rPr>
                <w:sz w:val="20"/>
              </w:rPr>
            </w:pPr>
            <w:r>
              <w:rPr>
                <w:sz w:val="20"/>
              </w:rPr>
              <w:t>Common Shares, without par value</w:t>
            </w:r>
          </w:p>
        </w:tc>
        <w:tc>
          <w:tcPr>
            <w:tcW w:w="1535" w:type="dxa"/>
            <w:tcBorders/>
            <w:tcMar>
              <w:bottom w:w="0" w:type="dxa"/>
            </w:tcMar>
            <w:vAlign w:val="center"/>
          </w:tcPr>
          <w:p>
            <w:pPr>
              <w:pStyle w:val="TableContents"/>
              <w:bidi w:val="0"/>
              <w:spacing w:before="0" w:after="283"/>
              <w:jc w:val="center"/>
              <w:rPr>
                <w:sz w:val="20"/>
              </w:rPr>
            </w:pPr>
            <w:r>
              <w:rPr>
                <w:sz w:val="20"/>
              </w:rPr>
              <w:t>ABUS</w:t>
            </w:r>
          </w:p>
        </w:tc>
        <w:tc>
          <w:tcPr>
            <w:tcW w:w="3575" w:type="dxa"/>
            <w:tcBorders/>
            <w:tcMar>
              <w:bottom w:w="0" w:type="dxa"/>
            </w:tcMar>
            <w:vAlign w:val="center"/>
          </w:tcPr>
          <w:p>
            <w:pPr>
              <w:pStyle w:val="TableContents"/>
              <w:bidi w:val="0"/>
              <w:spacing w:before="0" w:after="283"/>
              <w:jc w:val="center"/>
              <w:rPr>
                <w:sz w:val="20"/>
              </w:rPr>
            </w:pPr>
            <w:r>
              <w:rPr>
                <w:sz w:val="20"/>
              </w:rPr>
              <w:t>The Nasdaq Stock Market LLC</w:t>
            </w:r>
          </w:p>
        </w:tc>
      </w:tr>
    </w:tbl>
    <w:p>
      <w:pPr>
        <w:pStyle w:val="TextBody"/>
        <w:bidi w:val="0"/>
        <w:spacing w:before="120" w:after="120"/>
        <w:jc w:val="left"/>
        <w:rPr>
          <w:sz w:val="20"/>
        </w:rPr>
      </w:pPr>
      <w:r>
        <w:rPr>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120"/>
        <w:jc w:val="left"/>
        <w:rPr>
          <w:sz w:val="20"/>
        </w:rPr>
      </w:pPr>
      <w:r>
        <w:rPr>
          <w:sz w:val="20"/>
        </w:rPr>
        <w:t>Emerging growth company ☐</w:t>
      </w:r>
    </w:p>
    <w:p>
      <w:pPr>
        <w:pStyle w:val="TextBody"/>
        <w:bidi w:val="0"/>
        <w:spacing w:before="120" w:after="12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bdr w:val="single" w:sz="32" w:space="1" w:color="000000"/>
        </w:rPr>
      </w:pPr>
      <w:r>
        <w:rPr>
          <w:bdr w:val="single" w:sz="32" w:space="1" w:color="000000"/>
        </w:rPr>
        <w:t> </w:t>
      </w:r>
    </w:p>
    <w:p>
      <w:pPr>
        <w:pStyle w:val="TextBody"/>
        <w:bidi w:val="0"/>
        <w:spacing w:before="0" w:after="0"/>
        <w:jc w:val="left"/>
        <w:rPr/>
      </w:pPr>
      <w:r>
        <w:rPr/>
        <w:t> </w:t>
      </w:r>
    </w:p>
    <w:p>
      <w:pPr>
        <w:pStyle w:val="TextBody"/>
        <w:bidi w:val="0"/>
        <w:spacing w:before="0" w:after="283"/>
        <w:jc w:val="left"/>
        <w:rPr/>
      </w:pPr>
      <w:r>
        <w:rPr>
          <w:rStyle w:val="StrongEmphasis"/>
          <w:sz w:val="20"/>
        </w:rPr>
        <w:t>Item 2.02. Results of Operations and Financial Condition.</w:t>
      </w:r>
    </w:p>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rPr>
        <w:t>On August 12, 2026, Arbutus Biopharma Corporation issued a press release announcing its financial results for the second quarter ended June 30, 2026 and certain other information. A copy of the press release is furnished herewith as Exhibit 99.1 hereto and is incorporated by reference herein.</w:t>
      </w:r>
    </w:p>
    <w:p>
      <w:pPr>
        <w:pStyle w:val="TextBody"/>
        <w:bidi w:val="0"/>
        <w:spacing w:before="0" w:after="0"/>
        <w:ind w:left="0" w:right="0" w:hanging="0"/>
        <w:jc w:val="both"/>
        <w:rPr/>
      </w:pPr>
      <w:r>
        <w:rPr/>
        <w:t> </w:t>
      </w:r>
    </w:p>
    <w:p>
      <w:pPr>
        <w:pStyle w:val="TextBody"/>
        <w:bidi w:val="0"/>
        <w:spacing w:before="0" w:after="283"/>
        <w:jc w:val="left"/>
        <w:rPr/>
      </w:pPr>
      <w:r>
        <w:rPr>
          <w:rStyle w:val="StrongEmphasis"/>
          <w:sz w:val="20"/>
        </w:rPr>
        <w:t>Item 9.01. Financial Statements and Exhibits.</w:t>
      </w:r>
    </w:p>
    <w:p>
      <w:pPr>
        <w:pStyle w:val="TextBody"/>
        <w:bidi w:val="0"/>
        <w:spacing w:before="0" w:after="0"/>
        <w:ind w:left="0" w:right="0" w:hanging="0"/>
        <w:jc w:val="left"/>
        <w:rPr/>
      </w:pPr>
      <w:r>
        <w:rPr/>
        <w:t> </w:t>
      </w:r>
    </w:p>
    <w:p>
      <w:pPr>
        <w:pStyle w:val="TextBody"/>
        <w:bidi w:val="0"/>
        <w:spacing w:before="0" w:after="0"/>
        <w:ind w:left="0" w:right="0" w:hanging="0"/>
        <w:jc w:val="left"/>
        <w:rPr/>
      </w:pPr>
      <w:r>
        <w:rPr>
          <w:rStyle w:val="StrongEmphasis"/>
          <w:sz w:val="20"/>
        </w:rPr>
        <w:t>(d) Exhibits.</w:t>
      </w:r>
    </w:p>
    <w:p>
      <w:pPr>
        <w:pStyle w:val="TextBody"/>
        <w:bidi w:val="0"/>
        <w:spacing w:before="0" w:after="0"/>
        <w:ind w:left="0" w:right="0" w:hanging="0"/>
        <w:jc w:val="left"/>
        <w:rPr/>
      </w:pPr>
      <w:r>
        <w:rPr/>
        <w:t> </w:t>
      </w:r>
    </w:p>
    <w:tbl>
      <w:tblPr>
        <w:tblW w:w="7915" w:type="dxa"/>
        <w:jc w:val="left"/>
        <w:tblInd w:w="0" w:type="dxa"/>
        <w:tblLayout w:type="fixed"/>
        <w:tblCellMar>
          <w:top w:w="0" w:type="dxa"/>
          <w:left w:w="0" w:type="dxa"/>
          <w:bottom w:w="0" w:type="dxa"/>
          <w:right w:w="0" w:type="dxa"/>
        </w:tblCellMar>
      </w:tblPr>
      <w:tblGrid>
        <w:gridCol w:w="1385"/>
        <w:gridCol w:w="60"/>
        <w:gridCol w:w="6470"/>
      </w:tblGrid>
      <w:tr>
        <w:trPr/>
        <w:tc>
          <w:tcPr>
            <w:tcW w:w="1385" w:type="dxa"/>
            <w:tcBorders/>
            <w:vAlign w:val="bottom"/>
          </w:tcPr>
          <w:p>
            <w:pPr>
              <w:pStyle w:val="TableContents"/>
              <w:bidi w:val="0"/>
              <w:spacing w:before="0" w:after="283"/>
              <w:jc w:val="left"/>
              <w:rPr>
                <w:b/>
                <w:sz w:val="20"/>
              </w:rPr>
            </w:pPr>
            <w:r>
              <w:rPr>
                <w:b/>
                <w:sz w:val="20"/>
              </w:rPr>
              <w:t>Exhibit Number</w:t>
            </w:r>
          </w:p>
        </w:tc>
        <w:tc>
          <w:tcPr>
            <w:tcW w:w="60" w:type="dxa"/>
            <w:tcBorders/>
            <w:vAlign w:val="center"/>
          </w:tcPr>
          <w:p>
            <w:pPr>
              <w:pStyle w:val="TableContents"/>
              <w:bidi w:val="0"/>
              <w:spacing w:before="0" w:after="283"/>
              <w:jc w:val="left"/>
              <w:rPr/>
            </w:pPr>
            <w:r>
              <w:rPr/>
              <w:t> </w:t>
            </w:r>
          </w:p>
        </w:tc>
        <w:tc>
          <w:tcPr>
            <w:tcW w:w="6470" w:type="dxa"/>
            <w:tcBorders/>
            <w:vAlign w:val="bottom"/>
          </w:tcPr>
          <w:p>
            <w:pPr>
              <w:pStyle w:val="TableContents"/>
              <w:bidi w:val="0"/>
              <w:spacing w:before="0" w:after="283"/>
              <w:jc w:val="left"/>
              <w:rPr>
                <w:b/>
                <w:sz w:val="20"/>
              </w:rPr>
            </w:pPr>
            <w:r>
              <w:rPr>
                <w:b/>
                <w:sz w:val="20"/>
              </w:rPr>
              <w:t>Description</w:t>
            </w:r>
          </w:p>
        </w:tc>
      </w:tr>
      <w:tr>
        <w:trPr/>
        <w:tc>
          <w:tcPr>
            <w:tcW w:w="13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left"/>
              <w:rPr/>
            </w:pPr>
            <w:hyperlink w:anchor="exh_991.htm">
              <w:r>
                <w:rPr>
                  <w:rStyle w:val="InternetLink"/>
                  <w:sz w:val="20"/>
                </w:rPr>
                <w:t>99.1</w:t>
              </w:r>
            </w:hyperlink>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hyperlink w:anchor="exh_991.htm">
              <w:r>
                <w:rPr>
                  <w:rStyle w:val="InternetLink"/>
                  <w:sz w:val="20"/>
                </w:rPr>
                <w:t>Press Release dated August 12, 2026</w:t>
              </w:r>
            </w:hyperlink>
          </w:p>
        </w:tc>
      </w:tr>
      <w:tr>
        <w:trPr/>
        <w:tc>
          <w:tcPr>
            <w:tcW w:w="1385" w:type="dxa"/>
            <w:tcBorders/>
            <w:vAlign w:val="center"/>
          </w:tcPr>
          <w:p>
            <w:pPr>
              <w:pStyle w:val="TableContents"/>
              <w:bidi w:val="0"/>
              <w:spacing w:before="0" w:after="283"/>
              <w:jc w:val="left"/>
              <w:rPr>
                <w:sz w:val="20"/>
              </w:rPr>
            </w:pPr>
            <w:r>
              <w:rPr>
                <w:sz w:val="20"/>
              </w:rPr>
              <w:t>104</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jc w:val="left"/>
        <w:rPr>
          <w:bdr w:val="single" w:sz="32" w:space="1" w:color="000000"/>
        </w:rPr>
      </w:pPr>
      <w:r>
        <w:rPr>
          <w:bdr w:val="single" w:sz="32" w:space="1" w:color="000000"/>
        </w:rPr>
        <w:t> </w:t>
      </w:r>
    </w:p>
    <w:p>
      <w:pPr>
        <w:pStyle w:val="TextBody"/>
        <w:bidi w:val="0"/>
        <w:spacing w:before="0" w:after="283"/>
        <w:jc w:val="left"/>
        <w:rPr/>
      </w:pPr>
      <w:r>
        <w:rPr/>
        <w:t> </w:t>
      </w:r>
    </w:p>
    <w:p>
      <w:pPr>
        <w:pStyle w:val="TextBody"/>
        <w:bidi w:val="0"/>
        <w:jc w:val="center"/>
        <w:rPr>
          <w:b/>
          <w:sz w:val="20"/>
        </w:rPr>
      </w:pPr>
      <w:r>
        <w:rPr>
          <w:b/>
          <w:sz w:val="20"/>
        </w:rPr>
        <w:t>SIGNATURE</w:t>
      </w:r>
    </w:p>
    <w:p>
      <w:pPr>
        <w:pStyle w:val="TextBody"/>
        <w:bidi w:val="0"/>
        <w:jc w:val="left"/>
        <w:rPr>
          <w:sz w:val="20"/>
        </w:rPr>
      </w:pPr>
      <w:r>
        <w:rPr>
          <w:sz w:val="20"/>
        </w:rPr>
        <w:t>Pursuant to the requirements of the Securities Exchange Act of 1934, the registrant has duly caused this report to be signed on its behalf by the undersigned hereunto duly authorized.</w:t>
      </w:r>
    </w:p>
    <w:tbl>
      <w:tblPr>
        <w:tblW w:w="4674" w:type="dxa"/>
        <w:jc w:val="left"/>
        <w:tblInd w:w="0" w:type="dxa"/>
        <w:tblLayout w:type="fixed"/>
        <w:tblCellMar>
          <w:top w:w="0" w:type="dxa"/>
          <w:left w:w="0" w:type="dxa"/>
          <w:bottom w:w="0" w:type="dxa"/>
          <w:right w:w="0" w:type="dxa"/>
        </w:tblCellMar>
      </w:tblPr>
      <w:tblGrid>
        <w:gridCol w:w="1850"/>
        <w:gridCol w:w="459"/>
        <w:gridCol w:w="2365"/>
      </w:tblGrid>
      <w:tr>
        <w:trPr/>
        <w:tc>
          <w:tcPr>
            <w:tcW w:w="1850" w:type="dxa"/>
            <w:tcBorders/>
            <w:vAlign w:val="center"/>
          </w:tcPr>
          <w:p>
            <w:pPr>
              <w:pStyle w:val="TableContents"/>
              <w:bidi w:val="0"/>
              <w:spacing w:before="0" w:after="283"/>
              <w:jc w:val="left"/>
              <w:rPr/>
            </w:pPr>
            <w:r>
              <w:rPr/>
              <w:t> </w:t>
            </w:r>
          </w:p>
        </w:tc>
        <w:tc>
          <w:tcPr>
            <w:tcW w:w="2824" w:type="dxa"/>
            <w:gridSpan w:val="2"/>
            <w:tcBorders/>
            <w:vAlign w:val="center"/>
          </w:tcPr>
          <w:p>
            <w:pPr>
              <w:pStyle w:val="TableContents"/>
              <w:bidi w:val="0"/>
              <w:spacing w:before="0" w:after="283"/>
              <w:jc w:val="left"/>
              <w:rPr>
                <w:b/>
                <w:sz w:val="20"/>
              </w:rPr>
            </w:pPr>
            <w:r>
              <w:rPr>
                <w:b/>
                <w:sz w:val="20"/>
              </w:rPr>
              <w:t>Arbutus Biopharma Corporation</w:t>
            </w:r>
          </w:p>
        </w:tc>
      </w:tr>
      <w:tr>
        <w:trPr/>
        <w:tc>
          <w:tcPr>
            <w:tcW w:w="1850" w:type="dxa"/>
            <w:tcBorders/>
            <w:vAlign w:val="center"/>
          </w:tcPr>
          <w:p>
            <w:pPr>
              <w:pStyle w:val="TableContents"/>
              <w:bidi w:val="0"/>
              <w:spacing w:before="0" w:after="283"/>
              <w:jc w:val="left"/>
              <w:rPr/>
            </w:pPr>
            <w:r>
              <w:rPr/>
              <w:t> </w:t>
            </w:r>
          </w:p>
        </w:tc>
        <w:tc>
          <w:tcPr>
            <w:tcW w:w="459" w:type="dxa"/>
            <w:tcBorders/>
            <w:vAlign w:val="center"/>
          </w:tcPr>
          <w:p>
            <w:pPr>
              <w:pStyle w:val="TableContents"/>
              <w:bidi w:val="0"/>
              <w:spacing w:before="0" w:after="283"/>
              <w:jc w:val="left"/>
              <w:rPr/>
            </w:pPr>
            <w:r>
              <w:rPr/>
              <w:t> </w:t>
            </w:r>
          </w:p>
        </w:tc>
        <w:tc>
          <w:tcPr>
            <w:tcW w:w="2365"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pPr>
            <w:r>
              <w:rPr/>
              <w:t> </w:t>
            </w:r>
          </w:p>
        </w:tc>
        <w:tc>
          <w:tcPr>
            <w:tcW w:w="459" w:type="dxa"/>
            <w:tcBorders/>
            <w:vAlign w:val="center"/>
          </w:tcPr>
          <w:p>
            <w:pPr>
              <w:pStyle w:val="TableContents"/>
              <w:bidi w:val="0"/>
              <w:spacing w:before="0" w:after="283"/>
              <w:jc w:val="left"/>
              <w:rPr/>
            </w:pPr>
            <w:r>
              <w:rPr/>
              <w:t> </w:t>
            </w:r>
          </w:p>
        </w:tc>
        <w:tc>
          <w:tcPr>
            <w:tcW w:w="2365" w:type="dxa"/>
            <w:tcBorders/>
            <w:vAlign w:val="center"/>
          </w:tcPr>
          <w:p>
            <w:pPr>
              <w:pStyle w:val="TableContents"/>
              <w:bidi w:val="0"/>
              <w:spacing w:before="0" w:after="283"/>
              <w:jc w:val="left"/>
              <w:rPr>
                <w:sz w:val="4"/>
                <w:szCs w:val="4"/>
              </w:rPr>
            </w:pPr>
            <w:r>
              <w:rPr>
                <w:sz w:val="4"/>
                <w:szCs w:val="4"/>
              </w:rPr>
            </w:r>
          </w:p>
        </w:tc>
      </w:tr>
      <w:tr>
        <w:trPr/>
        <w:tc>
          <w:tcPr>
            <w:tcW w:w="1850" w:type="dxa"/>
            <w:tcBorders/>
            <w:vAlign w:val="center"/>
          </w:tcPr>
          <w:p>
            <w:pPr>
              <w:pStyle w:val="TableContents"/>
              <w:bidi w:val="0"/>
              <w:spacing w:before="0" w:after="283"/>
              <w:jc w:val="left"/>
              <w:rPr>
                <w:sz w:val="20"/>
              </w:rPr>
            </w:pPr>
            <w:r>
              <w:rPr>
                <w:sz w:val="20"/>
              </w:rPr>
              <w:t>Date: August 12, 2026</w:t>
            </w:r>
          </w:p>
        </w:tc>
        <w:tc>
          <w:tcPr>
            <w:tcW w:w="459" w:type="dxa"/>
            <w:tcBorders/>
            <w:vAlign w:val="center"/>
          </w:tcPr>
          <w:p>
            <w:pPr>
              <w:pStyle w:val="TableContents"/>
              <w:bidi w:val="0"/>
              <w:spacing w:before="0" w:after="283"/>
              <w:jc w:val="left"/>
              <w:rPr>
                <w:sz w:val="20"/>
              </w:rPr>
            </w:pPr>
            <w:r>
              <w:rPr>
                <w:sz w:val="20"/>
              </w:rPr>
              <w:t>By: </w:t>
            </w:r>
          </w:p>
        </w:tc>
        <w:tc>
          <w:tcPr>
            <w:tcW w:w="2365" w:type="dxa"/>
            <w:tcBorders/>
            <w:vAlign w:val="center"/>
          </w:tcPr>
          <w:p>
            <w:pPr>
              <w:pStyle w:val="TableContents"/>
              <w:bidi w:val="0"/>
              <w:spacing w:before="0" w:after="283"/>
              <w:jc w:val="left"/>
              <w:rPr>
                <w:sz w:val="20"/>
                <w:u w:val="single"/>
              </w:rPr>
            </w:pPr>
            <w:r>
              <w:rPr>
                <w:sz w:val="20"/>
                <w:u w:val="single"/>
              </w:rPr>
              <w:t>/s/ Tuan Nguyen        </w:t>
            </w:r>
          </w:p>
        </w:tc>
      </w:tr>
      <w:tr>
        <w:trPr/>
        <w:tc>
          <w:tcPr>
            <w:tcW w:w="1850" w:type="dxa"/>
            <w:tcBorders/>
            <w:vAlign w:val="center"/>
          </w:tcPr>
          <w:p>
            <w:pPr>
              <w:pStyle w:val="TableContents"/>
              <w:bidi w:val="0"/>
              <w:spacing w:before="0" w:after="283"/>
              <w:jc w:val="left"/>
              <w:rPr/>
            </w:pPr>
            <w:r>
              <w:rPr/>
              <w:t> </w:t>
            </w:r>
          </w:p>
        </w:tc>
        <w:tc>
          <w:tcPr>
            <w:tcW w:w="459" w:type="dxa"/>
            <w:tcBorders/>
            <w:vAlign w:val="center"/>
          </w:tcPr>
          <w:p>
            <w:pPr>
              <w:pStyle w:val="TableContents"/>
              <w:bidi w:val="0"/>
              <w:spacing w:before="0" w:after="283"/>
              <w:jc w:val="left"/>
              <w:rPr/>
            </w:pPr>
            <w:r>
              <w:rPr/>
              <w:t> </w:t>
            </w:r>
          </w:p>
        </w:tc>
        <w:tc>
          <w:tcPr>
            <w:tcW w:w="2365" w:type="dxa"/>
            <w:tcBorders/>
            <w:vAlign w:val="center"/>
          </w:tcPr>
          <w:p>
            <w:pPr>
              <w:pStyle w:val="TableContents"/>
              <w:bidi w:val="0"/>
              <w:spacing w:before="0" w:after="283"/>
              <w:jc w:val="left"/>
              <w:rPr>
                <w:sz w:val="20"/>
              </w:rPr>
            </w:pPr>
            <w:r>
              <w:rPr>
                <w:sz w:val="20"/>
              </w:rPr>
              <w:t>Tuan Nguyen</w:t>
            </w:r>
          </w:p>
        </w:tc>
      </w:tr>
      <w:tr>
        <w:trPr/>
        <w:tc>
          <w:tcPr>
            <w:tcW w:w="1850" w:type="dxa"/>
            <w:tcBorders/>
            <w:vAlign w:val="center"/>
          </w:tcPr>
          <w:p>
            <w:pPr>
              <w:pStyle w:val="TableContents"/>
              <w:bidi w:val="0"/>
              <w:spacing w:before="0" w:after="283"/>
              <w:jc w:val="left"/>
              <w:rPr/>
            </w:pPr>
            <w:r>
              <w:rPr/>
              <w:t> </w:t>
            </w:r>
          </w:p>
        </w:tc>
        <w:tc>
          <w:tcPr>
            <w:tcW w:w="459" w:type="dxa"/>
            <w:tcBorders/>
            <w:vAlign w:val="center"/>
          </w:tcPr>
          <w:p>
            <w:pPr>
              <w:pStyle w:val="TableContents"/>
              <w:bidi w:val="0"/>
              <w:spacing w:before="0" w:after="283"/>
              <w:jc w:val="left"/>
              <w:rPr/>
            </w:pPr>
            <w:r>
              <w:rPr/>
              <w:t> </w:t>
            </w:r>
          </w:p>
        </w:tc>
        <w:tc>
          <w:tcPr>
            <w:tcW w:w="2365" w:type="dxa"/>
            <w:tcBorders/>
            <w:vAlign w:val="center"/>
          </w:tcPr>
          <w:p>
            <w:pPr>
              <w:pStyle w:val="TableContents"/>
              <w:bidi w:val="0"/>
              <w:spacing w:before="0" w:after="283"/>
              <w:jc w:val="left"/>
              <w:rPr>
                <w:sz w:val="20"/>
              </w:rPr>
            </w:pPr>
            <w:r>
              <w:rPr>
                <w:sz w:val="20"/>
              </w:rPr>
              <w:t>Chief Financial Officer</w:t>
            </w:r>
          </w:p>
        </w:tc>
      </w:tr>
      <w:tr>
        <w:trPr/>
        <w:tc>
          <w:tcPr>
            <w:tcW w:w="1850" w:type="dxa"/>
            <w:tcBorders/>
            <w:vAlign w:val="center"/>
          </w:tcPr>
          <w:p>
            <w:pPr>
              <w:pStyle w:val="TableContents"/>
              <w:bidi w:val="0"/>
              <w:spacing w:before="0" w:after="283"/>
              <w:jc w:val="left"/>
              <w:rPr/>
            </w:pPr>
            <w:r>
              <w:rPr/>
              <w:t> </w:t>
            </w:r>
          </w:p>
        </w:tc>
        <w:tc>
          <w:tcPr>
            <w:tcW w:w="459" w:type="dxa"/>
            <w:tcBorders/>
            <w:vAlign w:val="center"/>
          </w:tcPr>
          <w:p>
            <w:pPr>
              <w:pStyle w:val="TableContents"/>
              <w:bidi w:val="0"/>
              <w:spacing w:before="0" w:after="283"/>
              <w:jc w:val="left"/>
              <w:rPr/>
            </w:pPr>
            <w:r>
              <w:rPr/>
              <w:t> </w:t>
            </w:r>
          </w:p>
        </w:tc>
        <w:tc>
          <w:tcPr>
            <w:tcW w:w="236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p>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center"/>
        <w:rPr/>
      </w:pPr>
      <w:r>
        <w:rPr>
          <w:rStyle w:val="StrongEmphasis"/>
          <w:sz w:val="28"/>
        </w:rPr>
        <w:t>Arbutus Reports Second Quarter 2026 Financial Results and Provides Corporate Update</w:t>
      </w:r>
    </w:p>
    <w:p>
      <w:pPr>
        <w:pStyle w:val="TextBody"/>
        <w:bidi w:val="0"/>
        <w:jc w:val="center"/>
        <w:rPr/>
      </w:pPr>
      <w:r>
        <w:rPr>
          <w:rStyle w:val="StrongEmphasis"/>
        </w:rPr>
        <w:t>Maintained strong financial position with cash, cash equivalents and marketable securities of $92.6M as of June 30, 2026</w:t>
      </w:r>
    </w:p>
    <w:p>
      <w:pPr>
        <w:pStyle w:val="TextBody"/>
        <w:bidi w:val="0"/>
        <w:jc w:val="center"/>
        <w:rPr/>
      </w:pPr>
      <w:r>
        <w:rPr>
          <w:rStyle w:val="StrongEmphasis"/>
        </w:rPr>
        <w:t>Received first payment of approximately $178M from Moderna settlement in July and expects to return up to approximately $230M in capital to Arbutus shareholders</w:t>
      </w:r>
    </w:p>
    <w:p>
      <w:pPr>
        <w:pStyle w:val="TextBody"/>
        <w:bidi w:val="0"/>
        <w:jc w:val="center"/>
        <w:rPr/>
      </w:pPr>
      <w:r>
        <w:rPr>
          <w:rStyle w:val="StrongEmphasis"/>
        </w:rPr>
        <w:t>Filed three international patent enforcement lawsuits against Pfizer and BioNTech related to lipid nanoparticle (LNP) technology</w:t>
      </w:r>
    </w:p>
    <w:p>
      <w:pPr>
        <w:pStyle w:val="TextBody"/>
        <w:bidi w:val="0"/>
        <w:jc w:val="center"/>
        <w:rPr/>
      </w:pPr>
      <w:r>
        <w:rPr>
          <w:rStyle w:val="StrongEmphasis"/>
        </w:rPr>
        <w:t>Achieved alignment with the U.S. Food and Drug Administration (FDA) on a proposed imdusiran Phase 2b clinical trial design</w:t>
      </w:r>
    </w:p>
    <w:p>
      <w:pPr>
        <w:pStyle w:val="TextBody"/>
        <w:bidi w:val="0"/>
        <w:jc w:val="both"/>
        <w:rPr/>
      </w:pPr>
      <w:r>
        <w:rPr/>
        <w:t>WARMINSTER, Pa., Aug. 12, 2026 (GLOBE NEWSWIRE) -- Arbutus Biopharma Corporation (Nasdaq: ABUS) (“Arbutus” or the “Company”), a clinical-stage biopharmaceutical company focused on infectious disease, today reported second quarter 2026 financial results and provided a corporate update.</w:t>
      </w:r>
    </w:p>
    <w:p>
      <w:pPr>
        <w:pStyle w:val="TextBody"/>
        <w:bidi w:val="0"/>
        <w:jc w:val="both"/>
        <w:rPr/>
      </w:pPr>
      <w:r>
        <w:rPr>
          <w:rStyle w:val="StrongEmphasis"/>
          <w:u w:val="single"/>
        </w:rPr>
        <w:t>LNP Litigation</w:t>
      </w:r>
    </w:p>
    <w:p>
      <w:pPr>
        <w:pStyle w:val="TextBody"/>
        <w:numPr>
          <w:ilvl w:val="0"/>
          <w:numId w:val="2"/>
        </w:numPr>
        <w:tabs>
          <w:tab w:val="clear" w:pos="1134"/>
          <w:tab w:val="left" w:pos="709" w:leader="none"/>
        </w:tabs>
        <w:bidi w:val="0"/>
        <w:spacing w:before="0" w:after="0"/>
        <w:ind w:left="709" w:hanging="283"/>
        <w:jc w:val="both"/>
        <w:rPr/>
      </w:pPr>
      <w:r>
        <w:rPr/>
        <w:t>On March 3, 2026, Arbutus, along with its exclusive licensee, Genevant Sciences (“Genevant”), entered into a settlement agreement to resolve all global patent infringement litigation and patent revocation proceedings involving Moderna. As part of the settlement, Moderna paid Arbutus and Genevant $950 million in July 2026 (the “Noncontingent Settlement Payment”) and will pay an additional $1.3 billion contingent upon an appellate ruling that 28 U.S.C. §1498 does not bar Arbutus’ and Genevant’s claims against Moderna for patent infringement, except as to doses characterized by the district court as having gone to U.S. government employees. On July 8, 2026, the Company received $178.4 million as its share of the Noncontingent Settlement Payment, which includes reimbursement of the Company’s litigation costs. In addition, the Company owns approximately 16% of the outstanding common equity of Genevant and anticipates the payment of a material dividend from Genevant in the third quarter of 2026. For more information about the terms and conditions of the settlement with Moderna, including the contingent payment, please refer to Arbutus’ Quarterly Report on Form 10-Q to be filed with the SEC on August 12, 2026 and Annual Report on Form 10-K filed with the SEC on March 23, 2026.</w:t>
      </w:r>
    </w:p>
    <w:p>
      <w:pPr>
        <w:pStyle w:val="TextBody"/>
        <w:numPr>
          <w:ilvl w:val="0"/>
          <w:numId w:val="2"/>
        </w:numPr>
        <w:tabs>
          <w:tab w:val="clear" w:pos="1134"/>
          <w:tab w:val="left" w:pos="709" w:leader="none"/>
        </w:tabs>
        <w:bidi w:val="0"/>
        <w:ind w:left="709" w:hanging="283"/>
        <w:jc w:val="both"/>
        <w:rPr/>
      </w:pPr>
      <w:r>
        <w:rPr/>
        <w:t>In July 2026, the Company, along with Genevant, filed three international lawsuits against Pfizer, BioNTech and certain of their affiliates seeking to enforce patents protecting the Company’s patented LNP technology across 21 countries.</w:t>
      </w:r>
    </w:p>
    <w:p>
      <w:pPr>
        <w:pStyle w:val="TextBody"/>
        <w:bidi w:val="0"/>
        <w:jc w:val="both"/>
        <w:rPr/>
      </w:pPr>
      <w:r>
        <w:rPr>
          <w:rStyle w:val="StrongEmphasis"/>
          <w:u w:val="single"/>
        </w:rPr>
        <w:t>Corporate Updates</w:t>
      </w:r>
    </w:p>
    <w:p>
      <w:pPr>
        <w:pStyle w:val="TextBody"/>
        <w:numPr>
          <w:ilvl w:val="0"/>
          <w:numId w:val="3"/>
        </w:numPr>
        <w:tabs>
          <w:tab w:val="clear" w:pos="1134"/>
          <w:tab w:val="left" w:pos="709" w:leader="none"/>
        </w:tabs>
        <w:bidi w:val="0"/>
        <w:spacing w:before="0" w:after="0"/>
        <w:ind w:left="709" w:hanging="283"/>
        <w:jc w:val="both"/>
        <w:rPr/>
      </w:pPr>
      <w:r>
        <w:rPr/>
        <w:t>Arbutus expects to return capital to shareholders commencing in Q3 2026 through repurchases of up to approximately $230 million of the Company’s common shares, which repurchases may come in the form of a tender offer (including a modified “Dutch Auction” tender offer), open market purchases, accelerated share repurchases or other means. The specific form(s) of any such transaction(s) remains subject to the approval of the Company’s board of directors, and no assurance can be given that any such repurchase activity will occur in Q3 2026, or at all.</w:t>
      </w:r>
    </w:p>
    <w:p>
      <w:pPr>
        <w:pStyle w:val="TextBody"/>
        <w:numPr>
          <w:ilvl w:val="0"/>
          <w:numId w:val="3"/>
        </w:numPr>
        <w:tabs>
          <w:tab w:val="clear" w:pos="1134"/>
          <w:tab w:val="left" w:pos="709" w:leader="none"/>
        </w:tabs>
        <w:bidi w:val="0"/>
        <w:spacing w:before="0" w:after="0"/>
        <w:ind w:left="709" w:hanging="283"/>
        <w:jc w:val="both"/>
        <w:rPr/>
      </w:pPr>
      <w:r>
        <w:rPr/>
        <w:t>In April 2026, the FDA granted Fast Track designation for imdusiran for the treatment of chronic hepatitis B (“cHBV”). The FDA’s Fast Track program is designed to facilitate the development and expedite the review of investigational therapies to treat serious conditions with unmet medical need.</w:t>
      </w:r>
    </w:p>
    <w:p>
      <w:pPr>
        <w:pStyle w:val="TextBody"/>
        <w:numPr>
          <w:ilvl w:val="0"/>
          <w:numId w:val="3"/>
        </w:numPr>
        <w:tabs>
          <w:tab w:val="clear" w:pos="1134"/>
          <w:tab w:val="left" w:pos="709" w:leader="none"/>
        </w:tabs>
        <w:bidi w:val="0"/>
        <w:ind w:left="709" w:hanging="283"/>
        <w:jc w:val="both"/>
        <w:rPr/>
      </w:pPr>
      <w:r>
        <w:rPr/>
        <w:t>In May 2026, the Company reached alignment with the FDA on the design and safety parameters of a proposed Phase 2b clinical trial evaluating imdusiran for the treatment of cHBV. The Company intends to incorporate the FDA’s feedback into a final Phase 2b protocol.</w:t>
      </w:r>
    </w:p>
    <w:p>
      <w:pPr>
        <w:pStyle w:val="TextBody"/>
        <w:bidi w:val="0"/>
        <w:jc w:val="both"/>
        <w:rPr/>
      </w:pPr>
      <w:r>
        <w:rPr/>
        <w:t>“</w:t>
      </w:r>
      <w:r>
        <w:rPr/>
        <w:t>This has been an exciting quarter for our imdusiran development program,” said Lindsay Androski, President and CEO of Arbutus. “In addition to obtaining Fast Track designation from the FDA on this promising drug candidate, which has achieved functional cure in 10 chronic hepatitis B patients to date, we reached alignment with the FDA on the design of our Phase 2b clinical trial. I would like to publicly congratulate our research and development team for their hard work and dedication in achieving these important milestones.”</w:t>
      </w:r>
    </w:p>
    <w:p>
      <w:pPr>
        <w:pStyle w:val="TextBody"/>
        <w:bidi w:val="0"/>
        <w:jc w:val="both"/>
        <w:rPr/>
      </w:pPr>
      <w:r>
        <w:rPr>
          <w:rStyle w:val="StrongEmphasis"/>
          <w:u w:val="single"/>
        </w:rPr>
        <w:t>Financial Results</w:t>
      </w:r>
    </w:p>
    <w:p>
      <w:pPr>
        <w:pStyle w:val="TextBody"/>
        <w:bidi w:val="0"/>
        <w:jc w:val="both"/>
        <w:rPr/>
      </w:pPr>
      <w:r>
        <w:rPr>
          <w:rStyle w:val="StrongEmphasis"/>
        </w:rPr>
        <w:t xml:space="preserve">Cash, Cash Equivalents and Investments </w:t>
      </w:r>
    </w:p>
    <w:p>
      <w:pPr>
        <w:pStyle w:val="TextBody"/>
        <w:bidi w:val="0"/>
        <w:jc w:val="both"/>
        <w:rPr/>
      </w:pPr>
      <w:r>
        <w:rPr/>
        <w:t>As of June 30, 2026, the Company had cash, cash equivalents and investments in marketable securities of $92.6 million compared to $91.5 million as of December 31, 2025. During the six months ended June 30, 2026, the Company used $14.1 million in operating activities, which included one-time payments related to its restructuring efforts, and received $14.7 million of proceeds from the exercise of stock options.</w:t>
      </w:r>
    </w:p>
    <w:p>
      <w:pPr>
        <w:pStyle w:val="TextBody"/>
        <w:bidi w:val="0"/>
        <w:jc w:val="both"/>
        <w:rPr/>
      </w:pPr>
      <w:r>
        <w:rPr>
          <w:rStyle w:val="StrongEmphasis"/>
        </w:rPr>
        <w:t xml:space="preserve">Revenue </w:t>
      </w:r>
    </w:p>
    <w:p>
      <w:pPr>
        <w:pStyle w:val="TextBody"/>
        <w:bidi w:val="0"/>
        <w:jc w:val="both"/>
        <w:rPr/>
      </w:pPr>
      <w:r>
        <w:rPr/>
        <w:t>Total revenue was $1.0 million for the quarter ended June 30, 2026, compared to $10.7 million for the same period in 2025. The decrease of $9.7 million was due primarily to recognizing in the quarter ended June 30, 2025 all $9.6 million of previously deferred revenue upon conclusion of the Company’s strategic partnership with Qilu in June 2025.</w:t>
      </w:r>
    </w:p>
    <w:p>
      <w:pPr>
        <w:pStyle w:val="TextBody"/>
        <w:bidi w:val="0"/>
        <w:jc w:val="both"/>
        <w:rPr/>
      </w:pPr>
      <w:r>
        <w:rPr>
          <w:rStyle w:val="StrongEmphasis"/>
        </w:rPr>
        <w:t xml:space="preserve">Operating Expenses </w:t>
      </w:r>
    </w:p>
    <w:p>
      <w:pPr>
        <w:pStyle w:val="TextBody"/>
        <w:bidi w:val="0"/>
        <w:jc w:val="both"/>
        <w:rPr/>
      </w:pPr>
      <w:r>
        <w:rPr/>
        <w:t>Research and development expenses were $2.9 million for the quarter ended June 30, 2026, compared to $5.5 million for the same period in 2025. The decrease of $2.6 million was due primarily to cost savings from the Company’s decisions to reduce its workforce and discontinue in-house scientific research, as well as lower clinical trial costs as studies neared completion.</w:t>
      </w:r>
    </w:p>
    <w:p>
      <w:pPr>
        <w:pStyle w:val="TextBody"/>
        <w:bidi w:val="0"/>
        <w:jc w:val="both"/>
        <w:rPr/>
      </w:pPr>
      <w:r>
        <w:rPr/>
        <w:t>General and administrative expenses were $3.9 million for the quarter ended June 30, 2026, compared to $3.3 million for the same period in 2025. This increase was due primarily to higher stock compensation expenses.</w:t>
      </w:r>
    </w:p>
    <w:p>
      <w:pPr>
        <w:pStyle w:val="TextBody"/>
        <w:bidi w:val="0"/>
        <w:jc w:val="both"/>
        <w:rPr/>
      </w:pPr>
      <w:r>
        <w:rPr/>
        <w:t>There were no restructuring costs in the quarter ended June 30, 2026, compared to $0.2 million for the same period in 2025.</w:t>
      </w:r>
    </w:p>
    <w:p>
      <w:pPr>
        <w:pStyle w:val="TextBody"/>
        <w:bidi w:val="0"/>
        <w:jc w:val="both"/>
        <w:rPr/>
      </w:pPr>
      <w:r>
        <w:rPr>
          <w:rStyle w:val="StrongEmphasis"/>
        </w:rPr>
        <w:t>Net Income/Loss</w:t>
      </w:r>
    </w:p>
    <w:p>
      <w:pPr>
        <w:pStyle w:val="TextBody"/>
        <w:bidi w:val="0"/>
        <w:jc w:val="both"/>
        <w:rPr/>
      </w:pPr>
      <w:r>
        <w:rPr/>
        <w:t>For the quarter ended June 30, 2026, the Company’s net loss was $5.1 million, or a loss of $0.03 per basic and diluted common share, as compared to net income of $2.5 million, or income of $0.01 per basic and diluted common share, for the quarter ended June 30, 2025.</w:t>
      </w:r>
    </w:p>
    <w:p>
      <w:pPr>
        <w:pStyle w:val="TextBody"/>
        <w:bidi w:val="0"/>
        <w:jc w:val="both"/>
        <w:rPr/>
      </w:pPr>
      <w:r>
        <w:rPr>
          <w:rStyle w:val="StrongEmphasis"/>
        </w:rPr>
        <w:t xml:space="preserve">Outstanding Shares </w:t>
      </w:r>
    </w:p>
    <w:p>
      <w:pPr>
        <w:pStyle w:val="TextBody"/>
        <w:bidi w:val="0"/>
        <w:jc w:val="both"/>
        <w:rPr/>
      </w:pPr>
      <w:r>
        <w:rPr/>
        <w:t>As of June 30, 2026, the Company had 197.6 million common shares issued and outstanding, as well as 8.6 million stock options and unvested restricted stock units outstanding.</w:t>
      </w:r>
    </w:p>
    <w:tbl>
      <w:tblPr>
        <w:tblW w:w="9791" w:type="dxa"/>
        <w:jc w:val="left"/>
        <w:tblInd w:w="0" w:type="dxa"/>
        <w:tblLayout w:type="fixed"/>
        <w:tblCellMar>
          <w:top w:w="28" w:type="dxa"/>
          <w:left w:w="28" w:type="dxa"/>
          <w:bottom w:w="28" w:type="dxa"/>
          <w:right w:w="28" w:type="dxa"/>
        </w:tblCellMar>
      </w:tblPr>
      <w:tblGrid>
        <w:gridCol w:w="5445"/>
        <w:gridCol w:w="261"/>
        <w:gridCol w:w="1509"/>
        <w:gridCol w:w="209"/>
        <w:gridCol w:w="168"/>
        <w:gridCol w:w="261"/>
        <w:gridCol w:w="1509"/>
        <w:gridCol w:w="209"/>
        <w:gridCol w:w="220"/>
      </w:tblGrid>
      <w:tr>
        <w:trPr/>
        <w:tc>
          <w:tcPr>
            <w:tcW w:w="9791" w:type="dxa"/>
            <w:gridSpan w:val="9"/>
            <w:tcBorders/>
            <w:vAlign w:val="center"/>
          </w:tcPr>
          <w:p>
            <w:pPr>
              <w:pStyle w:val="TableContents"/>
              <w:bidi w:val="0"/>
              <w:spacing w:before="0" w:after="283"/>
              <w:jc w:val="center"/>
              <w:rPr/>
            </w:pPr>
            <w:r>
              <w:rPr>
                <w:rStyle w:val="StrongEmphasis"/>
              </w:rPr>
              <w:t>UNAUDITED CONDENSED CONSOLIDATED STATEMENTS OF INCOME AND LOSS</w:t>
            </w:r>
            <w:r>
              <w:rPr/>
              <w:br/>
            </w:r>
            <w:r>
              <w:rPr>
                <w:rStyle w:val="StrongEmphasis"/>
              </w:rPr>
              <w:t>(in thousands, except share and per share data)</w:t>
            </w:r>
          </w:p>
        </w:tc>
      </w:tr>
      <w:tr>
        <w:trPr/>
        <w:tc>
          <w:tcPr>
            <w:tcW w:w="9791" w:type="dxa"/>
            <w:gridSpan w:val="9"/>
            <w:tcBorders/>
            <w:vAlign w:val="center"/>
          </w:tcPr>
          <w:p>
            <w:pPr>
              <w:pStyle w:val="TableContents"/>
              <w:bidi w:val="0"/>
              <w:spacing w:before="0" w:after="283"/>
              <w:jc w:val="left"/>
              <w:rPr/>
            </w:pPr>
            <w:r>
              <w:rPr/>
              <w:t> </w:t>
            </w:r>
          </w:p>
        </w:tc>
      </w:tr>
      <w:tr>
        <w:trPr/>
        <w:tc>
          <w:tcPr>
            <w:tcW w:w="5445" w:type="dxa"/>
            <w:tcBorders/>
            <w:vAlign w:val="center"/>
          </w:tcPr>
          <w:p>
            <w:pPr>
              <w:pStyle w:val="TableContents"/>
              <w:bidi w:val="0"/>
              <w:spacing w:before="0" w:after="283"/>
              <w:jc w:val="left"/>
              <w:rPr/>
            </w:pPr>
            <w:r>
              <w:rPr/>
              <w:t> </w:t>
            </w:r>
          </w:p>
        </w:tc>
        <w:tc>
          <w:tcPr>
            <w:tcW w:w="4126" w:type="dxa"/>
            <w:gridSpan w:val="7"/>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Three Months Ended June 30,</w:t>
            </w:r>
          </w:p>
        </w:tc>
        <w:tc>
          <w:tcPr>
            <w:tcW w:w="220" w:type="dxa"/>
            <w:tcBorders/>
            <w:vAlign w:val="center"/>
          </w:tcPr>
          <w:p>
            <w:pPr>
              <w:pStyle w:val="TableContents"/>
              <w:bidi w:val="0"/>
              <w:spacing w:before="0" w:after="283"/>
              <w:jc w:val="left"/>
              <w:rPr/>
            </w:pPr>
            <w:r>
              <w:rPr/>
              <w:t> </w:t>
            </w:r>
          </w:p>
        </w:tc>
      </w:tr>
      <w:tr>
        <w:trPr/>
        <w:tc>
          <w:tcPr>
            <w:tcW w:w="5445" w:type="dxa"/>
            <w:tcBorders/>
            <w:vAlign w:val="center"/>
          </w:tcPr>
          <w:p>
            <w:pPr>
              <w:pStyle w:val="TableContents"/>
              <w:bidi w:val="0"/>
              <w:spacing w:before="0" w:after="283"/>
              <w:jc w:val="left"/>
              <w:rPr/>
            </w:pPr>
            <w:r>
              <w:rPr/>
              <w:t> </w:t>
            </w:r>
          </w:p>
        </w:tc>
        <w:tc>
          <w:tcPr>
            <w:tcW w:w="1979"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2026</w:t>
            </w:r>
          </w:p>
        </w:tc>
        <w:tc>
          <w:tcPr>
            <w:tcW w:w="168"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1979"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2025</w:t>
            </w:r>
          </w:p>
        </w:tc>
        <w:tc>
          <w:tcPr>
            <w:tcW w:w="220" w:type="dxa"/>
            <w:tcBorders/>
            <w:vAlign w:val="center"/>
          </w:tcPr>
          <w:p>
            <w:pPr>
              <w:pStyle w:val="TableContents"/>
              <w:bidi w:val="0"/>
              <w:spacing w:before="0" w:after="283"/>
              <w:jc w:val="left"/>
              <w:rPr/>
            </w:pPr>
            <w:r>
              <w:rPr/>
              <w:t> </w:t>
            </w:r>
          </w:p>
        </w:tc>
      </w:tr>
      <w:tr>
        <w:trPr/>
        <w:tc>
          <w:tcPr>
            <w:tcW w:w="5445" w:type="dxa"/>
            <w:tcBorders/>
            <w:vAlign w:val="center"/>
          </w:tcPr>
          <w:p>
            <w:pPr>
              <w:pStyle w:val="TableContents"/>
              <w:bidi w:val="0"/>
              <w:spacing w:before="0" w:after="283"/>
              <w:jc w:val="left"/>
              <w:rPr/>
            </w:pPr>
            <w:r>
              <w:rPr>
                <w:rStyle w:val="StrongEmphasis"/>
              </w:rPr>
              <w:t>Revenue</w:t>
            </w:r>
          </w:p>
        </w:tc>
        <w:tc>
          <w:tcPr>
            <w:tcW w:w="26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509"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26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509"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r>
      <w:tr>
        <w:trPr/>
        <w:tc>
          <w:tcPr>
            <w:tcW w:w="5445" w:type="dxa"/>
            <w:tcBorders/>
            <w:tcMar>
              <w:top w:w="0" w:type="dxa"/>
              <w:left w:w="0" w:type="dxa"/>
              <w:bottom w:w="0" w:type="dxa"/>
              <w:right w:w="0" w:type="dxa"/>
            </w:tcMar>
            <w:vAlign w:val="center"/>
          </w:tcPr>
          <w:p>
            <w:pPr>
              <w:pStyle w:val="TableContents"/>
              <w:bidi w:val="0"/>
              <w:spacing w:before="0" w:after="283"/>
              <w:jc w:val="left"/>
              <w:rPr/>
            </w:pPr>
            <w:r>
              <w:rPr/>
              <w:t>Collaborations and licenses</w:t>
            </w:r>
          </w:p>
        </w:tc>
        <w:tc>
          <w:tcPr>
            <w:tcW w:w="261" w:type="dxa"/>
            <w:tcBorders/>
            <w:vAlign w:val="center"/>
          </w:tcPr>
          <w:p>
            <w:pPr>
              <w:pStyle w:val="TableContents"/>
              <w:bidi w:val="0"/>
              <w:spacing w:before="0" w:after="283"/>
              <w:jc w:val="right"/>
              <w:rPr/>
            </w:pPr>
            <w:r>
              <w:rPr/>
              <w:t>$</w:t>
            </w:r>
          </w:p>
        </w:tc>
        <w:tc>
          <w:tcPr>
            <w:tcW w:w="1509" w:type="dxa"/>
            <w:tcBorders/>
            <w:vAlign w:val="center"/>
          </w:tcPr>
          <w:p>
            <w:pPr>
              <w:pStyle w:val="TableContents"/>
              <w:bidi w:val="0"/>
              <w:spacing w:before="0" w:after="283"/>
              <w:jc w:val="right"/>
              <w:rPr/>
            </w:pPr>
            <w:r>
              <w:rPr/>
              <w:t>202</w:t>
            </w:r>
          </w:p>
        </w:tc>
        <w:tc>
          <w:tcPr>
            <w:tcW w:w="209"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right"/>
              <w:rPr/>
            </w:pPr>
            <w:r>
              <w:rPr/>
              <w:t>$</w:t>
            </w:r>
          </w:p>
        </w:tc>
        <w:tc>
          <w:tcPr>
            <w:tcW w:w="1509" w:type="dxa"/>
            <w:tcBorders/>
            <w:vAlign w:val="center"/>
          </w:tcPr>
          <w:p>
            <w:pPr>
              <w:pStyle w:val="TableContents"/>
              <w:bidi w:val="0"/>
              <w:spacing w:before="0" w:after="283"/>
              <w:jc w:val="right"/>
              <w:rPr/>
            </w:pPr>
            <w:r>
              <w:rPr/>
              <w:t>10,213</w:t>
            </w:r>
          </w:p>
        </w:tc>
        <w:tc>
          <w:tcPr>
            <w:tcW w:w="209"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r>
      <w:tr>
        <w:trPr/>
        <w:tc>
          <w:tcPr>
            <w:tcW w:w="5445" w:type="dxa"/>
            <w:tcBorders/>
            <w:tcMar>
              <w:top w:w="0" w:type="dxa"/>
              <w:left w:w="0" w:type="dxa"/>
              <w:bottom w:w="0" w:type="dxa"/>
              <w:right w:w="0" w:type="dxa"/>
            </w:tcMar>
            <w:vAlign w:val="center"/>
          </w:tcPr>
          <w:p>
            <w:pPr>
              <w:pStyle w:val="TableContents"/>
              <w:bidi w:val="0"/>
              <w:spacing w:before="0" w:after="283"/>
              <w:jc w:val="left"/>
              <w:rPr/>
            </w:pPr>
            <w:r>
              <w:rPr/>
              <w:t>License revenue from Genevant</w:t>
            </w:r>
          </w:p>
        </w:tc>
        <w:tc>
          <w:tcPr>
            <w:tcW w:w="261" w:type="dxa"/>
            <w:tcBorders/>
            <w:vAlign w:val="center"/>
          </w:tcPr>
          <w:p>
            <w:pPr>
              <w:pStyle w:val="TableContents"/>
              <w:bidi w:val="0"/>
              <w:spacing w:before="0" w:after="283"/>
              <w:jc w:val="right"/>
              <w:rPr/>
            </w:pPr>
            <w:r>
              <w:rPr/>
              <w:t> </w:t>
            </w:r>
          </w:p>
        </w:tc>
        <w:tc>
          <w:tcPr>
            <w:tcW w:w="1509" w:type="dxa"/>
            <w:tcBorders/>
            <w:vAlign w:val="center"/>
          </w:tcPr>
          <w:p>
            <w:pPr>
              <w:pStyle w:val="TableContents"/>
              <w:bidi w:val="0"/>
              <w:spacing w:before="0" w:after="283"/>
              <w:jc w:val="right"/>
              <w:rPr/>
            </w:pPr>
            <w:r>
              <w:rPr/>
              <w:t>632</w:t>
            </w:r>
          </w:p>
        </w:tc>
        <w:tc>
          <w:tcPr>
            <w:tcW w:w="209"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right"/>
              <w:rPr/>
            </w:pPr>
            <w:r>
              <w:rPr/>
              <w:t> </w:t>
            </w:r>
          </w:p>
        </w:tc>
        <w:tc>
          <w:tcPr>
            <w:tcW w:w="1509" w:type="dxa"/>
            <w:tcBorders/>
            <w:vAlign w:val="center"/>
          </w:tcPr>
          <w:p>
            <w:pPr>
              <w:pStyle w:val="TableContents"/>
              <w:bidi w:val="0"/>
              <w:spacing w:before="0" w:after="283"/>
              <w:jc w:val="right"/>
              <w:rPr/>
            </w:pPr>
            <w:r>
              <w:rPr/>
              <w:t>—</w:t>
            </w:r>
          </w:p>
        </w:tc>
        <w:tc>
          <w:tcPr>
            <w:tcW w:w="209"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r>
      <w:tr>
        <w:trPr/>
        <w:tc>
          <w:tcPr>
            <w:tcW w:w="5445" w:type="dxa"/>
            <w:tcBorders/>
            <w:tcMar>
              <w:top w:w="0" w:type="dxa"/>
              <w:left w:w="0" w:type="dxa"/>
              <w:bottom w:w="0" w:type="dxa"/>
              <w:right w:w="0" w:type="dxa"/>
            </w:tcMar>
            <w:vAlign w:val="center"/>
          </w:tcPr>
          <w:p>
            <w:pPr>
              <w:pStyle w:val="TableContents"/>
              <w:bidi w:val="0"/>
              <w:spacing w:before="0" w:after="283"/>
              <w:jc w:val="left"/>
              <w:rPr/>
            </w:pPr>
            <w:r>
              <w:rPr/>
              <w:t>Non-cash royalty revenue</w:t>
            </w:r>
          </w:p>
        </w:tc>
        <w:tc>
          <w:tcPr>
            <w:tcW w:w="26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50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180</w:t>
            </w:r>
          </w:p>
        </w:tc>
        <w:tc>
          <w:tcPr>
            <w:tcW w:w="20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26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50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526</w:t>
            </w:r>
          </w:p>
        </w:tc>
        <w:tc>
          <w:tcPr>
            <w:tcW w:w="20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r>
      <w:tr>
        <w:trPr/>
        <w:tc>
          <w:tcPr>
            <w:tcW w:w="5445" w:type="dxa"/>
            <w:tcBorders/>
            <w:vAlign w:val="center"/>
          </w:tcPr>
          <w:p>
            <w:pPr>
              <w:pStyle w:val="TableContents"/>
              <w:bidi w:val="0"/>
              <w:spacing w:before="0" w:after="283"/>
              <w:jc w:val="left"/>
              <w:rPr/>
            </w:pPr>
            <w:r>
              <w:rPr>
                <w:rStyle w:val="StrongEmphasis"/>
              </w:rPr>
              <w:t>Total revenue</w:t>
            </w:r>
          </w:p>
        </w:tc>
        <w:tc>
          <w:tcPr>
            <w:tcW w:w="261"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509"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1,014</w:t>
            </w:r>
          </w:p>
        </w:tc>
        <w:tc>
          <w:tcPr>
            <w:tcW w:w="209"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261"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509"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10,739</w:t>
            </w:r>
          </w:p>
        </w:tc>
        <w:tc>
          <w:tcPr>
            <w:tcW w:w="209"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r>
      <w:tr>
        <w:trPr/>
        <w:tc>
          <w:tcPr>
            <w:tcW w:w="5445" w:type="dxa"/>
            <w:tcBorders/>
            <w:vAlign w:val="center"/>
          </w:tcPr>
          <w:p>
            <w:pPr>
              <w:pStyle w:val="TableContents"/>
              <w:bidi w:val="0"/>
              <w:spacing w:before="0" w:after="283"/>
              <w:jc w:val="left"/>
              <w:rPr/>
            </w:pPr>
            <w:r>
              <w:rPr>
                <w:rStyle w:val="StrongEmphasis"/>
              </w:rPr>
              <w:t>Operating expenses</w:t>
            </w:r>
          </w:p>
        </w:tc>
        <w:tc>
          <w:tcPr>
            <w:tcW w:w="261" w:type="dxa"/>
            <w:tcBorders/>
            <w:vAlign w:val="center"/>
          </w:tcPr>
          <w:p>
            <w:pPr>
              <w:pStyle w:val="TableContents"/>
              <w:bidi w:val="0"/>
              <w:spacing w:before="0" w:after="283"/>
              <w:jc w:val="left"/>
              <w:rPr/>
            </w:pPr>
            <w:r>
              <w:rPr/>
              <w:t> </w:t>
            </w:r>
          </w:p>
        </w:tc>
        <w:tc>
          <w:tcPr>
            <w:tcW w:w="1509"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1509"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r>
      <w:tr>
        <w:trPr/>
        <w:tc>
          <w:tcPr>
            <w:tcW w:w="5445" w:type="dxa"/>
            <w:tcBorders/>
            <w:tcMar>
              <w:top w:w="0" w:type="dxa"/>
              <w:left w:w="0" w:type="dxa"/>
              <w:bottom w:w="0" w:type="dxa"/>
              <w:right w:w="0" w:type="dxa"/>
            </w:tcMar>
            <w:vAlign w:val="center"/>
          </w:tcPr>
          <w:p>
            <w:pPr>
              <w:pStyle w:val="TableContents"/>
              <w:bidi w:val="0"/>
              <w:spacing w:before="0" w:after="283"/>
              <w:jc w:val="left"/>
              <w:rPr/>
            </w:pPr>
            <w:r>
              <w:rPr/>
              <w:t>Research and development</w:t>
            </w:r>
          </w:p>
        </w:tc>
        <w:tc>
          <w:tcPr>
            <w:tcW w:w="261" w:type="dxa"/>
            <w:tcBorders/>
            <w:vAlign w:val="center"/>
          </w:tcPr>
          <w:p>
            <w:pPr>
              <w:pStyle w:val="TableContents"/>
              <w:bidi w:val="0"/>
              <w:spacing w:before="0" w:after="283"/>
              <w:jc w:val="right"/>
              <w:rPr/>
            </w:pPr>
            <w:r>
              <w:rPr/>
              <w:t> </w:t>
            </w:r>
          </w:p>
        </w:tc>
        <w:tc>
          <w:tcPr>
            <w:tcW w:w="1509" w:type="dxa"/>
            <w:tcBorders/>
            <w:vAlign w:val="center"/>
          </w:tcPr>
          <w:p>
            <w:pPr>
              <w:pStyle w:val="TableContents"/>
              <w:bidi w:val="0"/>
              <w:spacing w:before="0" w:after="283"/>
              <w:jc w:val="right"/>
              <w:rPr/>
            </w:pPr>
            <w:r>
              <w:rPr/>
              <w:t>2,898</w:t>
            </w:r>
          </w:p>
        </w:tc>
        <w:tc>
          <w:tcPr>
            <w:tcW w:w="209"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right"/>
              <w:rPr/>
            </w:pPr>
            <w:r>
              <w:rPr/>
              <w:t> </w:t>
            </w:r>
          </w:p>
        </w:tc>
        <w:tc>
          <w:tcPr>
            <w:tcW w:w="1509" w:type="dxa"/>
            <w:tcBorders/>
            <w:vAlign w:val="center"/>
          </w:tcPr>
          <w:p>
            <w:pPr>
              <w:pStyle w:val="TableContents"/>
              <w:bidi w:val="0"/>
              <w:spacing w:before="0" w:after="283"/>
              <w:jc w:val="right"/>
              <w:rPr/>
            </w:pPr>
            <w:r>
              <w:rPr/>
              <w:t>5,498</w:t>
            </w:r>
          </w:p>
        </w:tc>
        <w:tc>
          <w:tcPr>
            <w:tcW w:w="209"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r>
      <w:tr>
        <w:trPr/>
        <w:tc>
          <w:tcPr>
            <w:tcW w:w="5445" w:type="dxa"/>
            <w:tcBorders/>
            <w:tcMar>
              <w:top w:w="0" w:type="dxa"/>
              <w:left w:w="0" w:type="dxa"/>
              <w:bottom w:w="0" w:type="dxa"/>
              <w:right w:w="0" w:type="dxa"/>
            </w:tcMar>
            <w:vAlign w:val="center"/>
          </w:tcPr>
          <w:p>
            <w:pPr>
              <w:pStyle w:val="TableContents"/>
              <w:bidi w:val="0"/>
              <w:spacing w:before="0" w:after="283"/>
              <w:jc w:val="left"/>
              <w:rPr/>
            </w:pPr>
            <w:r>
              <w:rPr/>
              <w:t>General and administrative</w:t>
            </w:r>
          </w:p>
        </w:tc>
        <w:tc>
          <w:tcPr>
            <w:tcW w:w="261" w:type="dxa"/>
            <w:tcBorders/>
            <w:vAlign w:val="center"/>
          </w:tcPr>
          <w:p>
            <w:pPr>
              <w:pStyle w:val="TableContents"/>
              <w:bidi w:val="0"/>
              <w:spacing w:before="0" w:after="283"/>
              <w:jc w:val="right"/>
              <w:rPr/>
            </w:pPr>
            <w:r>
              <w:rPr/>
              <w:t> </w:t>
            </w:r>
          </w:p>
        </w:tc>
        <w:tc>
          <w:tcPr>
            <w:tcW w:w="1509" w:type="dxa"/>
            <w:tcBorders/>
            <w:vAlign w:val="center"/>
          </w:tcPr>
          <w:p>
            <w:pPr>
              <w:pStyle w:val="TableContents"/>
              <w:bidi w:val="0"/>
              <w:spacing w:before="0" w:after="283"/>
              <w:jc w:val="right"/>
              <w:rPr/>
            </w:pPr>
            <w:r>
              <w:rPr/>
              <w:t>3,867</w:t>
            </w:r>
          </w:p>
        </w:tc>
        <w:tc>
          <w:tcPr>
            <w:tcW w:w="209"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right"/>
              <w:rPr/>
            </w:pPr>
            <w:r>
              <w:rPr/>
              <w:t> </w:t>
            </w:r>
          </w:p>
        </w:tc>
        <w:tc>
          <w:tcPr>
            <w:tcW w:w="1509" w:type="dxa"/>
            <w:tcBorders/>
            <w:vAlign w:val="center"/>
          </w:tcPr>
          <w:p>
            <w:pPr>
              <w:pStyle w:val="TableContents"/>
              <w:bidi w:val="0"/>
              <w:spacing w:before="0" w:after="283"/>
              <w:jc w:val="right"/>
              <w:rPr/>
            </w:pPr>
            <w:r>
              <w:rPr/>
              <w:t>3,328</w:t>
            </w:r>
          </w:p>
        </w:tc>
        <w:tc>
          <w:tcPr>
            <w:tcW w:w="209"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r>
      <w:tr>
        <w:trPr/>
        <w:tc>
          <w:tcPr>
            <w:tcW w:w="5445" w:type="dxa"/>
            <w:tcBorders/>
            <w:tcMar>
              <w:top w:w="0" w:type="dxa"/>
              <w:left w:w="0" w:type="dxa"/>
              <w:bottom w:w="0" w:type="dxa"/>
              <w:right w:w="0" w:type="dxa"/>
            </w:tcMar>
            <w:vAlign w:val="center"/>
          </w:tcPr>
          <w:p>
            <w:pPr>
              <w:pStyle w:val="TableContents"/>
              <w:bidi w:val="0"/>
              <w:spacing w:before="0" w:after="283"/>
              <w:jc w:val="left"/>
              <w:rPr/>
            </w:pPr>
            <w:r>
              <w:rPr/>
              <w:t>Change in fair value of contingent consideration</w:t>
            </w:r>
          </w:p>
        </w:tc>
        <w:tc>
          <w:tcPr>
            <w:tcW w:w="261" w:type="dxa"/>
            <w:tcBorders/>
            <w:vAlign w:val="center"/>
          </w:tcPr>
          <w:p>
            <w:pPr>
              <w:pStyle w:val="TableContents"/>
              <w:bidi w:val="0"/>
              <w:spacing w:before="0" w:after="283"/>
              <w:jc w:val="right"/>
              <w:rPr/>
            </w:pPr>
            <w:r>
              <w:rPr/>
              <w:t> </w:t>
            </w:r>
          </w:p>
        </w:tc>
        <w:tc>
          <w:tcPr>
            <w:tcW w:w="1509" w:type="dxa"/>
            <w:tcBorders/>
            <w:vAlign w:val="center"/>
          </w:tcPr>
          <w:p>
            <w:pPr>
              <w:pStyle w:val="TableContents"/>
              <w:bidi w:val="0"/>
              <w:spacing w:before="0" w:after="283"/>
              <w:jc w:val="right"/>
              <w:rPr/>
            </w:pPr>
            <w:r>
              <w:rPr/>
              <w:t>213</w:t>
            </w:r>
          </w:p>
        </w:tc>
        <w:tc>
          <w:tcPr>
            <w:tcW w:w="209"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right"/>
              <w:rPr/>
            </w:pPr>
            <w:r>
              <w:rPr/>
              <w:t> </w:t>
            </w:r>
          </w:p>
        </w:tc>
        <w:tc>
          <w:tcPr>
            <w:tcW w:w="1509" w:type="dxa"/>
            <w:tcBorders/>
            <w:vAlign w:val="center"/>
          </w:tcPr>
          <w:p>
            <w:pPr>
              <w:pStyle w:val="TableContents"/>
              <w:bidi w:val="0"/>
              <w:spacing w:before="0" w:after="283"/>
              <w:jc w:val="right"/>
              <w:rPr/>
            </w:pPr>
            <w:r>
              <w:rPr/>
              <w:t>260</w:t>
            </w:r>
          </w:p>
        </w:tc>
        <w:tc>
          <w:tcPr>
            <w:tcW w:w="209"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r>
      <w:tr>
        <w:trPr/>
        <w:tc>
          <w:tcPr>
            <w:tcW w:w="5445" w:type="dxa"/>
            <w:tcBorders/>
            <w:tcMar>
              <w:top w:w="0" w:type="dxa"/>
              <w:left w:w="0" w:type="dxa"/>
              <w:bottom w:w="0" w:type="dxa"/>
              <w:right w:w="0" w:type="dxa"/>
            </w:tcMar>
            <w:vAlign w:val="center"/>
          </w:tcPr>
          <w:p>
            <w:pPr>
              <w:pStyle w:val="TableContents"/>
              <w:bidi w:val="0"/>
              <w:spacing w:before="0" w:after="283"/>
              <w:jc w:val="left"/>
              <w:rPr/>
            </w:pPr>
            <w:r>
              <w:rPr/>
              <w:t>Restructuring costs</w:t>
            </w:r>
          </w:p>
        </w:tc>
        <w:tc>
          <w:tcPr>
            <w:tcW w:w="26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50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20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26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50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165</w:t>
            </w:r>
          </w:p>
        </w:tc>
        <w:tc>
          <w:tcPr>
            <w:tcW w:w="20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r>
      <w:tr>
        <w:trPr/>
        <w:tc>
          <w:tcPr>
            <w:tcW w:w="5445" w:type="dxa"/>
            <w:tcBorders/>
            <w:vAlign w:val="center"/>
          </w:tcPr>
          <w:p>
            <w:pPr>
              <w:pStyle w:val="TableContents"/>
              <w:bidi w:val="0"/>
              <w:spacing w:before="0" w:after="283"/>
              <w:jc w:val="left"/>
              <w:rPr/>
            </w:pPr>
            <w:r>
              <w:rPr>
                <w:rStyle w:val="StrongEmphasis"/>
              </w:rPr>
              <w:t>Total operating expenses</w:t>
            </w:r>
          </w:p>
        </w:tc>
        <w:tc>
          <w:tcPr>
            <w:tcW w:w="26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5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6,978</w:t>
            </w:r>
          </w:p>
        </w:tc>
        <w:tc>
          <w:tcPr>
            <w:tcW w:w="2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26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5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9,251</w:t>
            </w:r>
          </w:p>
        </w:tc>
        <w:tc>
          <w:tcPr>
            <w:tcW w:w="2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r>
      <w:tr>
        <w:trPr/>
        <w:tc>
          <w:tcPr>
            <w:tcW w:w="5445" w:type="dxa"/>
            <w:tcBorders/>
            <w:vAlign w:val="center"/>
          </w:tcPr>
          <w:p>
            <w:pPr>
              <w:pStyle w:val="TableContents"/>
              <w:bidi w:val="0"/>
              <w:spacing w:before="0" w:after="283"/>
              <w:jc w:val="left"/>
              <w:rPr/>
            </w:pPr>
            <w:r>
              <w:rPr>
                <w:rStyle w:val="StrongEmphasis"/>
              </w:rPr>
              <w:t>(Loss) income from operations</w:t>
            </w:r>
          </w:p>
        </w:tc>
        <w:tc>
          <w:tcPr>
            <w:tcW w:w="261"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509"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(5,964</w:t>
            </w:r>
          </w:p>
        </w:tc>
        <w:tc>
          <w:tcPr>
            <w:tcW w:w="209"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w:t>
            </w:r>
          </w:p>
        </w:tc>
        <w:tc>
          <w:tcPr>
            <w:tcW w:w="168" w:type="dxa"/>
            <w:tcBorders/>
            <w:vAlign w:val="center"/>
          </w:tcPr>
          <w:p>
            <w:pPr>
              <w:pStyle w:val="TableContents"/>
              <w:bidi w:val="0"/>
              <w:spacing w:before="0" w:after="283"/>
              <w:jc w:val="left"/>
              <w:rPr/>
            </w:pPr>
            <w:r>
              <w:rPr/>
              <w:t> </w:t>
            </w:r>
          </w:p>
        </w:tc>
        <w:tc>
          <w:tcPr>
            <w:tcW w:w="261"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509"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1,488</w:t>
            </w:r>
          </w:p>
        </w:tc>
        <w:tc>
          <w:tcPr>
            <w:tcW w:w="209"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r>
      <w:tr>
        <w:trPr/>
        <w:tc>
          <w:tcPr>
            <w:tcW w:w="5445" w:type="dxa"/>
            <w:tcBorders/>
            <w:vAlign w:val="center"/>
          </w:tcPr>
          <w:p>
            <w:pPr>
              <w:pStyle w:val="TableContents"/>
              <w:bidi w:val="0"/>
              <w:spacing w:before="0" w:after="283"/>
              <w:jc w:val="left"/>
              <w:rPr/>
            </w:pPr>
            <w:r>
              <w:rPr>
                <w:rStyle w:val="StrongEmphasis"/>
              </w:rPr>
              <w:t>Other income</w:t>
            </w:r>
          </w:p>
        </w:tc>
        <w:tc>
          <w:tcPr>
            <w:tcW w:w="261" w:type="dxa"/>
            <w:tcBorders/>
            <w:vAlign w:val="center"/>
          </w:tcPr>
          <w:p>
            <w:pPr>
              <w:pStyle w:val="TableContents"/>
              <w:bidi w:val="0"/>
              <w:spacing w:before="0" w:after="283"/>
              <w:jc w:val="left"/>
              <w:rPr/>
            </w:pPr>
            <w:r>
              <w:rPr/>
              <w:t> </w:t>
            </w:r>
          </w:p>
        </w:tc>
        <w:tc>
          <w:tcPr>
            <w:tcW w:w="1509"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1509"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r>
      <w:tr>
        <w:trPr/>
        <w:tc>
          <w:tcPr>
            <w:tcW w:w="5445" w:type="dxa"/>
            <w:tcBorders/>
            <w:tcMar>
              <w:top w:w="0" w:type="dxa"/>
              <w:left w:w="0" w:type="dxa"/>
              <w:bottom w:w="0" w:type="dxa"/>
              <w:right w:w="0" w:type="dxa"/>
            </w:tcMar>
            <w:vAlign w:val="center"/>
          </w:tcPr>
          <w:p>
            <w:pPr>
              <w:pStyle w:val="TableContents"/>
              <w:bidi w:val="0"/>
              <w:spacing w:before="0" w:after="283"/>
              <w:jc w:val="left"/>
              <w:rPr/>
            </w:pPr>
            <w:r>
              <w:rPr/>
              <w:t>Interest income</w:t>
            </w:r>
          </w:p>
        </w:tc>
        <w:tc>
          <w:tcPr>
            <w:tcW w:w="261" w:type="dxa"/>
            <w:tcBorders/>
            <w:vAlign w:val="center"/>
          </w:tcPr>
          <w:p>
            <w:pPr>
              <w:pStyle w:val="TableContents"/>
              <w:bidi w:val="0"/>
              <w:spacing w:before="0" w:after="283"/>
              <w:jc w:val="right"/>
              <w:rPr/>
            </w:pPr>
            <w:r>
              <w:rPr/>
              <w:t> </w:t>
            </w:r>
          </w:p>
        </w:tc>
        <w:tc>
          <w:tcPr>
            <w:tcW w:w="1509" w:type="dxa"/>
            <w:tcBorders/>
            <w:vAlign w:val="center"/>
          </w:tcPr>
          <w:p>
            <w:pPr>
              <w:pStyle w:val="TableContents"/>
              <w:bidi w:val="0"/>
              <w:spacing w:before="0" w:after="283"/>
              <w:jc w:val="right"/>
              <w:rPr/>
            </w:pPr>
            <w:r>
              <w:rPr/>
              <w:t>842</w:t>
            </w:r>
          </w:p>
        </w:tc>
        <w:tc>
          <w:tcPr>
            <w:tcW w:w="209"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right"/>
              <w:rPr/>
            </w:pPr>
            <w:r>
              <w:rPr/>
              <w:t> </w:t>
            </w:r>
          </w:p>
        </w:tc>
        <w:tc>
          <w:tcPr>
            <w:tcW w:w="1509" w:type="dxa"/>
            <w:tcBorders/>
            <w:vAlign w:val="center"/>
          </w:tcPr>
          <w:p>
            <w:pPr>
              <w:pStyle w:val="TableContents"/>
              <w:bidi w:val="0"/>
              <w:spacing w:before="0" w:after="283"/>
              <w:jc w:val="right"/>
              <w:rPr/>
            </w:pPr>
            <w:r>
              <w:rPr/>
              <w:t>1,042</w:t>
            </w:r>
          </w:p>
        </w:tc>
        <w:tc>
          <w:tcPr>
            <w:tcW w:w="209"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r>
      <w:tr>
        <w:trPr/>
        <w:tc>
          <w:tcPr>
            <w:tcW w:w="5445" w:type="dxa"/>
            <w:tcBorders/>
            <w:tcMar>
              <w:top w:w="0" w:type="dxa"/>
              <w:left w:w="0" w:type="dxa"/>
              <w:bottom w:w="0" w:type="dxa"/>
              <w:right w:w="0" w:type="dxa"/>
            </w:tcMar>
            <w:vAlign w:val="center"/>
          </w:tcPr>
          <w:p>
            <w:pPr>
              <w:pStyle w:val="TableContents"/>
              <w:bidi w:val="0"/>
              <w:spacing w:before="0" w:after="283"/>
              <w:jc w:val="left"/>
              <w:rPr/>
            </w:pPr>
            <w:r>
              <w:rPr/>
              <w:t>Interest expense</w:t>
            </w:r>
          </w:p>
        </w:tc>
        <w:tc>
          <w:tcPr>
            <w:tcW w:w="261" w:type="dxa"/>
            <w:tcBorders/>
            <w:vAlign w:val="center"/>
          </w:tcPr>
          <w:p>
            <w:pPr>
              <w:pStyle w:val="TableContents"/>
              <w:bidi w:val="0"/>
              <w:spacing w:before="0" w:after="283"/>
              <w:jc w:val="right"/>
              <w:rPr/>
            </w:pPr>
            <w:r>
              <w:rPr/>
              <w:t> </w:t>
            </w:r>
          </w:p>
        </w:tc>
        <w:tc>
          <w:tcPr>
            <w:tcW w:w="1509" w:type="dxa"/>
            <w:tcBorders/>
            <w:vAlign w:val="center"/>
          </w:tcPr>
          <w:p>
            <w:pPr>
              <w:pStyle w:val="TableContents"/>
              <w:bidi w:val="0"/>
              <w:spacing w:before="0" w:after="283"/>
              <w:jc w:val="right"/>
              <w:rPr/>
            </w:pPr>
            <w:r>
              <w:rPr/>
              <w:t>(18</w:t>
            </w:r>
          </w:p>
        </w:tc>
        <w:tc>
          <w:tcPr>
            <w:tcW w:w="209" w:type="dxa"/>
            <w:tcBorders/>
            <w:vAlign w:val="center"/>
          </w:tcPr>
          <w:p>
            <w:pPr>
              <w:pStyle w:val="TableContents"/>
              <w:bidi w:val="0"/>
              <w:spacing w:before="0" w:after="283"/>
              <w:jc w:val="left"/>
              <w:rPr/>
            </w:pPr>
            <w:r>
              <w:rPr/>
              <w:t>)</w:t>
            </w:r>
          </w:p>
        </w:tc>
        <w:tc>
          <w:tcPr>
            <w:tcW w:w="168"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right"/>
              <w:rPr/>
            </w:pPr>
            <w:r>
              <w:rPr/>
              <w:t> </w:t>
            </w:r>
          </w:p>
        </w:tc>
        <w:tc>
          <w:tcPr>
            <w:tcW w:w="1509" w:type="dxa"/>
            <w:tcBorders/>
            <w:vAlign w:val="center"/>
          </w:tcPr>
          <w:p>
            <w:pPr>
              <w:pStyle w:val="TableContents"/>
              <w:bidi w:val="0"/>
              <w:spacing w:before="0" w:after="283"/>
              <w:jc w:val="right"/>
              <w:rPr/>
            </w:pPr>
            <w:r>
              <w:rPr/>
              <w:t>(28</w:t>
            </w:r>
          </w:p>
        </w:tc>
        <w:tc>
          <w:tcPr>
            <w:tcW w:w="209" w:type="dxa"/>
            <w:tcBorders/>
            <w:vAlign w:val="center"/>
          </w:tcPr>
          <w:p>
            <w:pPr>
              <w:pStyle w:val="TableContents"/>
              <w:bidi w:val="0"/>
              <w:spacing w:before="0" w:after="283"/>
              <w:jc w:val="left"/>
              <w:rPr/>
            </w:pPr>
            <w:r>
              <w:rPr/>
              <w:t>)</w:t>
            </w:r>
          </w:p>
        </w:tc>
        <w:tc>
          <w:tcPr>
            <w:tcW w:w="220" w:type="dxa"/>
            <w:tcBorders/>
            <w:vAlign w:val="center"/>
          </w:tcPr>
          <w:p>
            <w:pPr>
              <w:pStyle w:val="TableContents"/>
              <w:bidi w:val="0"/>
              <w:spacing w:before="0" w:after="283"/>
              <w:jc w:val="left"/>
              <w:rPr/>
            </w:pPr>
            <w:r>
              <w:rPr/>
              <w:t> </w:t>
            </w:r>
          </w:p>
        </w:tc>
      </w:tr>
      <w:tr>
        <w:trPr/>
        <w:tc>
          <w:tcPr>
            <w:tcW w:w="5445" w:type="dxa"/>
            <w:tcBorders/>
            <w:tcMar>
              <w:top w:w="0" w:type="dxa"/>
              <w:left w:w="0" w:type="dxa"/>
              <w:bottom w:w="0" w:type="dxa"/>
              <w:right w:w="0" w:type="dxa"/>
            </w:tcMar>
            <w:vAlign w:val="center"/>
          </w:tcPr>
          <w:p>
            <w:pPr>
              <w:pStyle w:val="TableContents"/>
              <w:bidi w:val="0"/>
              <w:spacing w:before="0" w:after="283"/>
              <w:jc w:val="left"/>
              <w:rPr/>
            </w:pPr>
            <w:r>
              <w:rPr/>
              <w:t>Foreign exchange (loss) gain</w:t>
            </w:r>
          </w:p>
        </w:tc>
        <w:tc>
          <w:tcPr>
            <w:tcW w:w="26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50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w:t>
            </w:r>
          </w:p>
        </w:tc>
        <w:tc>
          <w:tcPr>
            <w:tcW w:w="20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68" w:type="dxa"/>
            <w:tcBorders/>
            <w:vAlign w:val="center"/>
          </w:tcPr>
          <w:p>
            <w:pPr>
              <w:pStyle w:val="TableContents"/>
              <w:bidi w:val="0"/>
              <w:spacing w:before="0" w:after="283"/>
              <w:jc w:val="left"/>
              <w:rPr/>
            </w:pPr>
            <w:r>
              <w:rPr/>
              <w:t> </w:t>
            </w:r>
          </w:p>
        </w:tc>
        <w:tc>
          <w:tcPr>
            <w:tcW w:w="26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50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21</w:t>
            </w:r>
          </w:p>
        </w:tc>
        <w:tc>
          <w:tcPr>
            <w:tcW w:w="20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r>
      <w:tr>
        <w:trPr/>
        <w:tc>
          <w:tcPr>
            <w:tcW w:w="5445" w:type="dxa"/>
            <w:tcBorders/>
            <w:vAlign w:val="center"/>
          </w:tcPr>
          <w:p>
            <w:pPr>
              <w:pStyle w:val="TableContents"/>
              <w:bidi w:val="0"/>
              <w:spacing w:before="0" w:after="283"/>
              <w:jc w:val="left"/>
              <w:rPr/>
            </w:pPr>
            <w:r>
              <w:rPr>
                <w:rStyle w:val="StrongEmphasis"/>
              </w:rPr>
              <w:t>Total other income</w:t>
            </w:r>
          </w:p>
        </w:tc>
        <w:tc>
          <w:tcPr>
            <w:tcW w:w="26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5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821</w:t>
            </w:r>
          </w:p>
        </w:tc>
        <w:tc>
          <w:tcPr>
            <w:tcW w:w="2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26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5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1,035</w:t>
            </w:r>
          </w:p>
        </w:tc>
        <w:tc>
          <w:tcPr>
            <w:tcW w:w="20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r>
      <w:tr>
        <w:trPr/>
        <w:tc>
          <w:tcPr>
            <w:tcW w:w="5445" w:type="dxa"/>
            <w:tcBorders/>
            <w:vAlign w:val="center"/>
          </w:tcPr>
          <w:p>
            <w:pPr>
              <w:pStyle w:val="TableContents"/>
              <w:bidi w:val="0"/>
              <w:spacing w:before="0" w:after="283"/>
              <w:jc w:val="left"/>
              <w:rPr/>
            </w:pPr>
            <w:r>
              <w:rPr>
                <w:rStyle w:val="StrongEmphasis"/>
              </w:rPr>
              <w:t>Net (loss) income</w:t>
            </w:r>
          </w:p>
        </w:tc>
        <w:tc>
          <w:tcPr>
            <w:tcW w:w="261"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w:t>
            </w:r>
          </w:p>
        </w:tc>
        <w:tc>
          <w:tcPr>
            <w:tcW w:w="1509"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(5,143</w:t>
            </w:r>
          </w:p>
        </w:tc>
        <w:tc>
          <w:tcPr>
            <w:tcW w:w="209"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w:t>
            </w:r>
          </w:p>
        </w:tc>
        <w:tc>
          <w:tcPr>
            <w:tcW w:w="168" w:type="dxa"/>
            <w:tcBorders/>
            <w:vAlign w:val="center"/>
          </w:tcPr>
          <w:p>
            <w:pPr>
              <w:pStyle w:val="TableContents"/>
              <w:bidi w:val="0"/>
              <w:spacing w:before="0" w:after="283"/>
              <w:jc w:val="left"/>
              <w:rPr/>
            </w:pPr>
            <w:r>
              <w:rPr/>
              <w:t> </w:t>
            </w:r>
          </w:p>
        </w:tc>
        <w:tc>
          <w:tcPr>
            <w:tcW w:w="261"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w:t>
            </w:r>
          </w:p>
        </w:tc>
        <w:tc>
          <w:tcPr>
            <w:tcW w:w="1509"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2,523</w:t>
            </w:r>
          </w:p>
        </w:tc>
        <w:tc>
          <w:tcPr>
            <w:tcW w:w="209"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r>
      <w:tr>
        <w:trPr/>
        <w:tc>
          <w:tcPr>
            <w:tcW w:w="5445" w:type="dxa"/>
            <w:tcBorders/>
            <w:vAlign w:val="center"/>
          </w:tcPr>
          <w:p>
            <w:pPr>
              <w:pStyle w:val="TableContents"/>
              <w:bidi w:val="0"/>
              <w:spacing w:before="0" w:after="283"/>
              <w:jc w:val="left"/>
              <w:rPr/>
            </w:pPr>
            <w:r>
              <w:rPr>
                <w:rStyle w:val="StrongEmphasis"/>
              </w:rPr>
              <w:t>Net (loss) income per common share</w:t>
            </w:r>
          </w:p>
        </w:tc>
        <w:tc>
          <w:tcPr>
            <w:tcW w:w="261" w:type="dxa"/>
            <w:tcBorders/>
            <w:vAlign w:val="center"/>
          </w:tcPr>
          <w:p>
            <w:pPr>
              <w:pStyle w:val="TableContents"/>
              <w:bidi w:val="0"/>
              <w:spacing w:before="0" w:after="283"/>
              <w:jc w:val="left"/>
              <w:rPr/>
            </w:pPr>
            <w:r>
              <w:rPr/>
              <w:t> </w:t>
            </w:r>
          </w:p>
        </w:tc>
        <w:tc>
          <w:tcPr>
            <w:tcW w:w="1509"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1509"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r>
      <w:tr>
        <w:trPr/>
        <w:tc>
          <w:tcPr>
            <w:tcW w:w="5445" w:type="dxa"/>
            <w:tcBorders/>
            <w:tcMar>
              <w:top w:w="0" w:type="dxa"/>
              <w:left w:w="0" w:type="dxa"/>
              <w:bottom w:w="0" w:type="dxa"/>
              <w:right w:w="0" w:type="dxa"/>
            </w:tcMar>
            <w:vAlign w:val="center"/>
          </w:tcPr>
          <w:p>
            <w:pPr>
              <w:pStyle w:val="TableContents"/>
              <w:bidi w:val="0"/>
              <w:spacing w:before="0" w:after="283"/>
              <w:jc w:val="left"/>
              <w:rPr/>
            </w:pPr>
            <w:r>
              <w:rPr/>
              <w:t>Basic</w:t>
            </w:r>
          </w:p>
        </w:tc>
        <w:tc>
          <w:tcPr>
            <w:tcW w:w="261" w:type="dxa"/>
            <w:tcBorders/>
            <w:vAlign w:val="center"/>
          </w:tcPr>
          <w:p>
            <w:pPr>
              <w:pStyle w:val="TableContents"/>
              <w:bidi w:val="0"/>
              <w:spacing w:before="0" w:after="283"/>
              <w:jc w:val="right"/>
              <w:rPr/>
            </w:pPr>
            <w:r>
              <w:rPr/>
              <w:t>$</w:t>
            </w:r>
          </w:p>
        </w:tc>
        <w:tc>
          <w:tcPr>
            <w:tcW w:w="1509" w:type="dxa"/>
            <w:tcBorders/>
            <w:vAlign w:val="center"/>
          </w:tcPr>
          <w:p>
            <w:pPr>
              <w:pStyle w:val="TableContents"/>
              <w:bidi w:val="0"/>
              <w:spacing w:before="0" w:after="283"/>
              <w:jc w:val="right"/>
              <w:rPr/>
            </w:pPr>
            <w:r>
              <w:rPr/>
              <w:t>(0.03</w:t>
            </w:r>
          </w:p>
        </w:tc>
        <w:tc>
          <w:tcPr>
            <w:tcW w:w="209" w:type="dxa"/>
            <w:tcBorders/>
            <w:vAlign w:val="center"/>
          </w:tcPr>
          <w:p>
            <w:pPr>
              <w:pStyle w:val="TableContents"/>
              <w:bidi w:val="0"/>
              <w:spacing w:before="0" w:after="283"/>
              <w:jc w:val="left"/>
              <w:rPr/>
            </w:pPr>
            <w:r>
              <w:rPr/>
              <w:t>)</w:t>
            </w:r>
          </w:p>
        </w:tc>
        <w:tc>
          <w:tcPr>
            <w:tcW w:w="168"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right"/>
              <w:rPr/>
            </w:pPr>
            <w:r>
              <w:rPr/>
              <w:t>$</w:t>
            </w:r>
          </w:p>
        </w:tc>
        <w:tc>
          <w:tcPr>
            <w:tcW w:w="1509" w:type="dxa"/>
            <w:tcBorders/>
            <w:vAlign w:val="center"/>
          </w:tcPr>
          <w:p>
            <w:pPr>
              <w:pStyle w:val="TableContents"/>
              <w:bidi w:val="0"/>
              <w:spacing w:before="0" w:after="283"/>
              <w:jc w:val="right"/>
              <w:rPr/>
            </w:pPr>
            <w:r>
              <w:rPr/>
              <w:t>0.01</w:t>
            </w:r>
          </w:p>
        </w:tc>
        <w:tc>
          <w:tcPr>
            <w:tcW w:w="209"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r>
      <w:tr>
        <w:trPr/>
        <w:tc>
          <w:tcPr>
            <w:tcW w:w="5445" w:type="dxa"/>
            <w:tcBorders/>
            <w:tcMar>
              <w:top w:w="0" w:type="dxa"/>
              <w:left w:w="0" w:type="dxa"/>
              <w:bottom w:w="0" w:type="dxa"/>
              <w:right w:w="0" w:type="dxa"/>
            </w:tcMar>
            <w:vAlign w:val="center"/>
          </w:tcPr>
          <w:p>
            <w:pPr>
              <w:pStyle w:val="TableContents"/>
              <w:bidi w:val="0"/>
              <w:spacing w:before="0" w:after="283"/>
              <w:jc w:val="left"/>
              <w:rPr/>
            </w:pPr>
            <w:r>
              <w:rPr/>
              <w:t>Diluted</w:t>
            </w:r>
          </w:p>
        </w:tc>
        <w:tc>
          <w:tcPr>
            <w:tcW w:w="261" w:type="dxa"/>
            <w:tcBorders/>
            <w:vAlign w:val="center"/>
          </w:tcPr>
          <w:p>
            <w:pPr>
              <w:pStyle w:val="TableContents"/>
              <w:bidi w:val="0"/>
              <w:spacing w:before="0" w:after="283"/>
              <w:jc w:val="right"/>
              <w:rPr/>
            </w:pPr>
            <w:r>
              <w:rPr/>
              <w:t>$</w:t>
            </w:r>
          </w:p>
        </w:tc>
        <w:tc>
          <w:tcPr>
            <w:tcW w:w="1509" w:type="dxa"/>
            <w:tcBorders/>
            <w:vAlign w:val="center"/>
          </w:tcPr>
          <w:p>
            <w:pPr>
              <w:pStyle w:val="TableContents"/>
              <w:bidi w:val="0"/>
              <w:spacing w:before="0" w:after="283"/>
              <w:jc w:val="right"/>
              <w:rPr/>
            </w:pPr>
            <w:r>
              <w:rPr/>
              <w:t>(0.03</w:t>
            </w:r>
          </w:p>
        </w:tc>
        <w:tc>
          <w:tcPr>
            <w:tcW w:w="209" w:type="dxa"/>
            <w:tcBorders/>
            <w:vAlign w:val="center"/>
          </w:tcPr>
          <w:p>
            <w:pPr>
              <w:pStyle w:val="TableContents"/>
              <w:bidi w:val="0"/>
              <w:spacing w:before="0" w:after="283"/>
              <w:jc w:val="left"/>
              <w:rPr/>
            </w:pPr>
            <w:r>
              <w:rPr/>
              <w:t>)</w:t>
            </w:r>
          </w:p>
        </w:tc>
        <w:tc>
          <w:tcPr>
            <w:tcW w:w="168"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right"/>
              <w:rPr/>
            </w:pPr>
            <w:r>
              <w:rPr/>
              <w:t>$</w:t>
            </w:r>
          </w:p>
        </w:tc>
        <w:tc>
          <w:tcPr>
            <w:tcW w:w="1509" w:type="dxa"/>
            <w:tcBorders/>
            <w:vAlign w:val="center"/>
          </w:tcPr>
          <w:p>
            <w:pPr>
              <w:pStyle w:val="TableContents"/>
              <w:bidi w:val="0"/>
              <w:spacing w:before="0" w:after="283"/>
              <w:jc w:val="right"/>
              <w:rPr/>
            </w:pPr>
            <w:r>
              <w:rPr/>
              <w:t>0.01</w:t>
            </w:r>
          </w:p>
        </w:tc>
        <w:tc>
          <w:tcPr>
            <w:tcW w:w="209"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r>
      <w:tr>
        <w:trPr/>
        <w:tc>
          <w:tcPr>
            <w:tcW w:w="5445" w:type="dxa"/>
            <w:tcBorders/>
            <w:tcMar>
              <w:top w:w="0" w:type="dxa"/>
              <w:left w:w="0" w:type="dxa"/>
              <w:bottom w:w="0" w:type="dxa"/>
              <w:right w:w="0" w:type="dxa"/>
            </w:tcMar>
            <w:vAlign w:val="center"/>
          </w:tcPr>
          <w:p>
            <w:pPr>
              <w:pStyle w:val="TableContents"/>
              <w:bidi w:val="0"/>
              <w:spacing w:before="0" w:after="283"/>
              <w:jc w:val="left"/>
              <w:rPr/>
            </w:pPr>
            <w:r>
              <w:rPr>
                <w:rStyle w:val="StrongEmphasis"/>
              </w:rPr>
              <w:t>Weighted average number of common shares</w:t>
            </w:r>
          </w:p>
        </w:tc>
        <w:tc>
          <w:tcPr>
            <w:tcW w:w="261" w:type="dxa"/>
            <w:tcBorders/>
            <w:vAlign w:val="center"/>
          </w:tcPr>
          <w:p>
            <w:pPr>
              <w:pStyle w:val="TableContents"/>
              <w:bidi w:val="0"/>
              <w:spacing w:before="0" w:after="283"/>
              <w:jc w:val="left"/>
              <w:rPr/>
            </w:pPr>
            <w:r>
              <w:rPr/>
              <w:t> </w:t>
            </w:r>
          </w:p>
        </w:tc>
        <w:tc>
          <w:tcPr>
            <w:tcW w:w="1509"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1509"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r>
      <w:tr>
        <w:trPr/>
        <w:tc>
          <w:tcPr>
            <w:tcW w:w="5445" w:type="dxa"/>
            <w:tcBorders/>
            <w:tcMar>
              <w:top w:w="0" w:type="dxa"/>
              <w:left w:w="0" w:type="dxa"/>
              <w:bottom w:w="0" w:type="dxa"/>
              <w:right w:w="0" w:type="dxa"/>
            </w:tcMar>
            <w:vAlign w:val="center"/>
          </w:tcPr>
          <w:p>
            <w:pPr>
              <w:pStyle w:val="TableContents"/>
              <w:bidi w:val="0"/>
              <w:spacing w:before="0" w:after="283"/>
              <w:jc w:val="left"/>
              <w:rPr/>
            </w:pPr>
            <w:r>
              <w:rPr/>
              <w:t>Basic</w:t>
            </w:r>
          </w:p>
        </w:tc>
        <w:tc>
          <w:tcPr>
            <w:tcW w:w="261" w:type="dxa"/>
            <w:tcBorders/>
            <w:vAlign w:val="center"/>
          </w:tcPr>
          <w:p>
            <w:pPr>
              <w:pStyle w:val="TableContents"/>
              <w:bidi w:val="0"/>
              <w:spacing w:before="0" w:after="283"/>
              <w:jc w:val="right"/>
              <w:rPr/>
            </w:pPr>
            <w:r>
              <w:rPr/>
              <w:t> </w:t>
            </w:r>
          </w:p>
        </w:tc>
        <w:tc>
          <w:tcPr>
            <w:tcW w:w="1509" w:type="dxa"/>
            <w:tcBorders/>
            <w:vAlign w:val="center"/>
          </w:tcPr>
          <w:p>
            <w:pPr>
              <w:pStyle w:val="TableContents"/>
              <w:bidi w:val="0"/>
              <w:spacing w:before="0" w:after="283"/>
              <w:jc w:val="right"/>
              <w:rPr/>
            </w:pPr>
            <w:r>
              <w:rPr/>
              <w:t>197,470,724</w:t>
            </w:r>
          </w:p>
        </w:tc>
        <w:tc>
          <w:tcPr>
            <w:tcW w:w="209"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right"/>
              <w:rPr/>
            </w:pPr>
            <w:r>
              <w:rPr/>
              <w:t> </w:t>
            </w:r>
          </w:p>
        </w:tc>
        <w:tc>
          <w:tcPr>
            <w:tcW w:w="1509" w:type="dxa"/>
            <w:tcBorders/>
            <w:vAlign w:val="center"/>
          </w:tcPr>
          <w:p>
            <w:pPr>
              <w:pStyle w:val="TableContents"/>
              <w:bidi w:val="0"/>
              <w:spacing w:before="0" w:after="283"/>
              <w:jc w:val="right"/>
              <w:rPr/>
            </w:pPr>
            <w:r>
              <w:rPr/>
              <w:t>191,551,282</w:t>
            </w:r>
          </w:p>
        </w:tc>
        <w:tc>
          <w:tcPr>
            <w:tcW w:w="209"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r>
      <w:tr>
        <w:trPr/>
        <w:tc>
          <w:tcPr>
            <w:tcW w:w="5445" w:type="dxa"/>
            <w:tcBorders/>
            <w:tcMar>
              <w:top w:w="0" w:type="dxa"/>
              <w:left w:w="0" w:type="dxa"/>
              <w:bottom w:w="0" w:type="dxa"/>
              <w:right w:w="0" w:type="dxa"/>
            </w:tcMar>
            <w:vAlign w:val="center"/>
          </w:tcPr>
          <w:p>
            <w:pPr>
              <w:pStyle w:val="TableContents"/>
              <w:bidi w:val="0"/>
              <w:spacing w:before="0" w:after="283"/>
              <w:jc w:val="left"/>
              <w:rPr/>
            </w:pPr>
            <w:r>
              <w:rPr/>
              <w:t>Diluted</w:t>
            </w:r>
          </w:p>
        </w:tc>
        <w:tc>
          <w:tcPr>
            <w:tcW w:w="261" w:type="dxa"/>
            <w:tcBorders/>
            <w:vAlign w:val="center"/>
          </w:tcPr>
          <w:p>
            <w:pPr>
              <w:pStyle w:val="TableContents"/>
              <w:bidi w:val="0"/>
              <w:spacing w:before="0" w:after="283"/>
              <w:jc w:val="right"/>
              <w:rPr/>
            </w:pPr>
            <w:r>
              <w:rPr/>
              <w:t> </w:t>
            </w:r>
          </w:p>
        </w:tc>
        <w:tc>
          <w:tcPr>
            <w:tcW w:w="1509" w:type="dxa"/>
            <w:tcBorders/>
            <w:vAlign w:val="center"/>
          </w:tcPr>
          <w:p>
            <w:pPr>
              <w:pStyle w:val="TableContents"/>
              <w:bidi w:val="0"/>
              <w:spacing w:before="0" w:after="283"/>
              <w:jc w:val="right"/>
              <w:rPr/>
            </w:pPr>
            <w:r>
              <w:rPr/>
              <w:t>197,470,724</w:t>
            </w:r>
          </w:p>
        </w:tc>
        <w:tc>
          <w:tcPr>
            <w:tcW w:w="209"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right"/>
              <w:rPr/>
            </w:pPr>
            <w:r>
              <w:rPr/>
              <w:t> </w:t>
            </w:r>
          </w:p>
        </w:tc>
        <w:tc>
          <w:tcPr>
            <w:tcW w:w="1509" w:type="dxa"/>
            <w:tcBorders/>
            <w:vAlign w:val="center"/>
          </w:tcPr>
          <w:p>
            <w:pPr>
              <w:pStyle w:val="TableContents"/>
              <w:bidi w:val="0"/>
              <w:spacing w:before="0" w:after="283"/>
              <w:jc w:val="right"/>
              <w:rPr/>
            </w:pPr>
            <w:r>
              <w:rPr/>
              <w:t>192,399,733</w:t>
            </w:r>
          </w:p>
        </w:tc>
        <w:tc>
          <w:tcPr>
            <w:tcW w:w="209"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r>
      <w:tr>
        <w:trPr/>
        <w:tc>
          <w:tcPr>
            <w:tcW w:w="9791" w:type="dxa"/>
            <w:gridSpan w:val="9"/>
            <w:tcBorders/>
            <w:vAlign w:val="center"/>
          </w:tcPr>
          <w:p>
            <w:pPr>
              <w:pStyle w:val="TableContents"/>
              <w:bidi w:val="0"/>
              <w:spacing w:before="0" w:after="283"/>
              <w:jc w:val="left"/>
              <w:rPr/>
            </w:pPr>
            <w:r>
              <w:rPr/>
              <w:t> </w:t>
            </w:r>
          </w:p>
        </w:tc>
      </w:tr>
    </w:tbl>
    <w:p>
      <w:pPr>
        <w:pStyle w:val="TextBody"/>
        <w:bidi w:val="0"/>
        <w:jc w:val="left"/>
        <w:rPr/>
      </w:pPr>
      <w:r>
        <w:rPr/>
      </w:r>
    </w:p>
    <w:tbl>
      <w:tblPr>
        <w:tblW w:w="9788" w:type="dxa"/>
        <w:jc w:val="left"/>
        <w:tblInd w:w="0" w:type="dxa"/>
        <w:tblLayout w:type="fixed"/>
        <w:tblCellMar>
          <w:top w:w="28" w:type="dxa"/>
          <w:left w:w="28" w:type="dxa"/>
          <w:bottom w:w="28" w:type="dxa"/>
          <w:right w:w="28" w:type="dxa"/>
        </w:tblCellMar>
      </w:tblPr>
      <w:tblGrid>
        <w:gridCol w:w="5911"/>
        <w:gridCol w:w="305"/>
        <w:gridCol w:w="1195"/>
        <w:gridCol w:w="146"/>
        <w:gridCol w:w="463"/>
        <w:gridCol w:w="1577"/>
        <w:gridCol w:w="191"/>
      </w:tblGrid>
      <w:tr>
        <w:trPr/>
        <w:tc>
          <w:tcPr>
            <w:tcW w:w="9788" w:type="dxa"/>
            <w:gridSpan w:val="7"/>
            <w:tcBorders/>
            <w:vAlign w:val="center"/>
          </w:tcPr>
          <w:p>
            <w:pPr>
              <w:pStyle w:val="TableContents"/>
              <w:bidi w:val="0"/>
              <w:spacing w:before="0" w:after="283"/>
              <w:jc w:val="center"/>
              <w:rPr/>
            </w:pPr>
            <w:r>
              <w:rPr>
                <w:rStyle w:val="StrongEmphasis"/>
              </w:rPr>
              <w:t>UNAUDITED CONDENSED CONSOLIDATED BALANCE SHEETS</w:t>
              <w:br/>
              <w:t>(in thousands)</w:t>
            </w:r>
          </w:p>
        </w:tc>
      </w:tr>
      <w:tr>
        <w:trPr/>
        <w:tc>
          <w:tcPr>
            <w:tcW w:w="9788" w:type="dxa"/>
            <w:gridSpan w:val="7"/>
            <w:tcBorders/>
            <w:vAlign w:val="center"/>
          </w:tcPr>
          <w:p>
            <w:pPr>
              <w:pStyle w:val="TableContents"/>
              <w:bidi w:val="0"/>
              <w:spacing w:before="0" w:after="283"/>
              <w:jc w:val="left"/>
              <w:rPr/>
            </w:pPr>
            <w:r>
              <w:rPr/>
              <w:t> </w:t>
            </w:r>
          </w:p>
        </w:tc>
      </w:tr>
      <w:tr>
        <w:trPr/>
        <w:tc>
          <w:tcPr>
            <w:tcW w:w="5911" w:type="dxa"/>
            <w:tcBorders/>
            <w:vAlign w:val="center"/>
          </w:tcPr>
          <w:p>
            <w:pPr>
              <w:pStyle w:val="TableContents"/>
              <w:bidi w:val="0"/>
              <w:spacing w:before="0" w:after="283"/>
              <w:jc w:val="left"/>
              <w:rPr/>
            </w:pPr>
            <w:r>
              <w:rPr/>
              <w:t> </w:t>
            </w:r>
          </w:p>
        </w:tc>
        <w:tc>
          <w:tcPr>
            <w:tcW w:w="1500"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June 30, 2026</w:t>
            </w:r>
          </w:p>
        </w:tc>
        <w:tc>
          <w:tcPr>
            <w:tcW w:w="146" w:type="dxa"/>
            <w:tcBorders/>
            <w:vAlign w:val="center"/>
          </w:tcPr>
          <w:p>
            <w:pPr>
              <w:pStyle w:val="TableContents"/>
              <w:bidi w:val="0"/>
              <w:spacing w:before="0" w:after="283"/>
              <w:jc w:val="left"/>
              <w:rPr/>
            </w:pPr>
            <w:r>
              <w:rPr/>
              <w:t> </w:t>
            </w:r>
          </w:p>
        </w:tc>
        <w:tc>
          <w:tcPr>
            <w:tcW w:w="2040"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December 31, 2025</w:t>
            </w:r>
          </w:p>
        </w:tc>
        <w:tc>
          <w:tcPr>
            <w:tcW w:w="191" w:type="dxa"/>
            <w:tcBorders/>
            <w:vAlign w:val="center"/>
          </w:tcPr>
          <w:p>
            <w:pPr>
              <w:pStyle w:val="TableContents"/>
              <w:bidi w:val="0"/>
              <w:spacing w:before="0" w:after="283"/>
              <w:jc w:val="left"/>
              <w:rPr/>
            </w:pPr>
            <w:r>
              <w:rPr/>
              <w:t> </w:t>
            </w:r>
          </w:p>
        </w:tc>
      </w:tr>
      <w:tr>
        <w:trPr/>
        <w:tc>
          <w:tcPr>
            <w:tcW w:w="5911" w:type="dxa"/>
            <w:tcBorders/>
            <w:vAlign w:val="center"/>
          </w:tcPr>
          <w:p>
            <w:pPr>
              <w:pStyle w:val="TableContents"/>
              <w:bidi w:val="0"/>
              <w:spacing w:before="0" w:after="283"/>
              <w:jc w:val="left"/>
              <w:rPr/>
            </w:pPr>
            <w:r>
              <w:rPr/>
              <w:t>Cash, cash equivalents and marketable securities, current</w:t>
            </w:r>
          </w:p>
        </w:tc>
        <w:tc>
          <w:tcPr>
            <w:tcW w:w="305"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w:t>
            </w:r>
          </w:p>
        </w:tc>
        <w:tc>
          <w:tcPr>
            <w:tcW w:w="1195"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92,625</w:t>
            </w:r>
          </w:p>
        </w:tc>
        <w:tc>
          <w:tcPr>
            <w:tcW w:w="146" w:type="dxa"/>
            <w:tcBorders/>
            <w:vAlign w:val="center"/>
          </w:tcPr>
          <w:p>
            <w:pPr>
              <w:pStyle w:val="TableContents"/>
              <w:bidi w:val="0"/>
              <w:spacing w:before="0" w:after="283"/>
              <w:jc w:val="left"/>
              <w:rPr/>
            </w:pPr>
            <w:r>
              <w:rPr/>
              <w:t> </w:t>
            </w:r>
          </w:p>
        </w:tc>
        <w:tc>
          <w:tcPr>
            <w:tcW w:w="463"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w:t>
            </w:r>
          </w:p>
        </w:tc>
        <w:tc>
          <w:tcPr>
            <w:tcW w:w="1577"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91,471</w:t>
            </w:r>
          </w:p>
        </w:tc>
        <w:tc>
          <w:tcPr>
            <w:tcW w:w="191" w:type="dxa"/>
            <w:tcBorders/>
            <w:vAlign w:val="center"/>
          </w:tcPr>
          <w:p>
            <w:pPr>
              <w:pStyle w:val="TableContents"/>
              <w:bidi w:val="0"/>
              <w:spacing w:before="0" w:after="283"/>
              <w:jc w:val="left"/>
              <w:rPr/>
            </w:pPr>
            <w:r>
              <w:rPr/>
              <w:t> </w:t>
            </w:r>
          </w:p>
        </w:tc>
      </w:tr>
      <w:tr>
        <w:trPr/>
        <w:tc>
          <w:tcPr>
            <w:tcW w:w="5911" w:type="dxa"/>
            <w:tcBorders/>
            <w:vAlign w:val="center"/>
          </w:tcPr>
          <w:p>
            <w:pPr>
              <w:pStyle w:val="TableContents"/>
              <w:bidi w:val="0"/>
              <w:spacing w:before="0" w:after="283"/>
              <w:jc w:val="left"/>
              <w:rPr/>
            </w:pPr>
            <w:r>
              <w:rPr/>
              <w:t>Receivable from Genevant license</w:t>
            </w:r>
          </w:p>
        </w:tc>
        <w:tc>
          <w:tcPr>
            <w:tcW w:w="305" w:type="dxa"/>
            <w:tcBorders/>
            <w:vAlign w:val="center"/>
          </w:tcPr>
          <w:p>
            <w:pPr>
              <w:pStyle w:val="TableContents"/>
              <w:bidi w:val="0"/>
              <w:spacing w:before="0" w:after="283"/>
              <w:jc w:val="right"/>
              <w:rPr/>
            </w:pPr>
            <w:r>
              <w:rPr/>
              <w:t> </w:t>
            </w:r>
          </w:p>
        </w:tc>
        <w:tc>
          <w:tcPr>
            <w:tcW w:w="1195" w:type="dxa"/>
            <w:tcBorders/>
            <w:vAlign w:val="center"/>
          </w:tcPr>
          <w:p>
            <w:pPr>
              <w:pStyle w:val="TableContents"/>
              <w:bidi w:val="0"/>
              <w:spacing w:before="0" w:after="283"/>
              <w:jc w:val="right"/>
              <w:rPr/>
            </w:pPr>
            <w:r>
              <w:rPr/>
              <w:t>179,373</w:t>
            </w:r>
          </w:p>
        </w:tc>
        <w:tc>
          <w:tcPr>
            <w:tcW w:w="146" w:type="dxa"/>
            <w:tcBorders/>
            <w:vAlign w:val="center"/>
          </w:tcPr>
          <w:p>
            <w:pPr>
              <w:pStyle w:val="TableContents"/>
              <w:bidi w:val="0"/>
              <w:spacing w:before="0" w:after="283"/>
              <w:jc w:val="left"/>
              <w:rPr/>
            </w:pPr>
            <w:r>
              <w:rPr/>
              <w:t> </w:t>
            </w:r>
          </w:p>
        </w:tc>
        <w:tc>
          <w:tcPr>
            <w:tcW w:w="463" w:type="dxa"/>
            <w:tcBorders/>
            <w:vAlign w:val="center"/>
          </w:tcPr>
          <w:p>
            <w:pPr>
              <w:pStyle w:val="TableContents"/>
              <w:bidi w:val="0"/>
              <w:spacing w:before="0" w:after="283"/>
              <w:jc w:val="right"/>
              <w:rPr/>
            </w:pPr>
            <w:r>
              <w:rPr/>
              <w:t> </w:t>
            </w:r>
          </w:p>
        </w:tc>
        <w:tc>
          <w:tcPr>
            <w:tcW w:w="1577" w:type="dxa"/>
            <w:tcBorders/>
            <w:vAlign w:val="center"/>
          </w:tcPr>
          <w:p>
            <w:pPr>
              <w:pStyle w:val="TableContents"/>
              <w:bidi w:val="0"/>
              <w:spacing w:before="0" w:after="283"/>
              <w:jc w:val="right"/>
              <w:rPr/>
            </w:pPr>
            <w:r>
              <w:rPr/>
              <w:t>—</w:t>
            </w:r>
          </w:p>
        </w:tc>
        <w:tc>
          <w:tcPr>
            <w:tcW w:w="191" w:type="dxa"/>
            <w:tcBorders/>
            <w:vAlign w:val="center"/>
          </w:tcPr>
          <w:p>
            <w:pPr>
              <w:pStyle w:val="TableContents"/>
              <w:bidi w:val="0"/>
              <w:spacing w:before="0" w:after="283"/>
              <w:jc w:val="left"/>
              <w:rPr/>
            </w:pPr>
            <w:r>
              <w:rPr/>
              <w:t> </w:t>
            </w:r>
          </w:p>
        </w:tc>
      </w:tr>
      <w:tr>
        <w:trPr/>
        <w:tc>
          <w:tcPr>
            <w:tcW w:w="5911" w:type="dxa"/>
            <w:tcBorders/>
            <w:vAlign w:val="center"/>
          </w:tcPr>
          <w:p>
            <w:pPr>
              <w:pStyle w:val="TableContents"/>
              <w:bidi w:val="0"/>
              <w:spacing w:before="0" w:after="283"/>
              <w:jc w:val="left"/>
              <w:rPr/>
            </w:pPr>
            <w:r>
              <w:rPr/>
              <w:t>Accounts receivable and other current assets</w:t>
            </w:r>
          </w:p>
        </w:tc>
        <w:tc>
          <w:tcPr>
            <w:tcW w:w="30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9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1,885</w:t>
            </w:r>
          </w:p>
        </w:tc>
        <w:tc>
          <w:tcPr>
            <w:tcW w:w="146" w:type="dxa"/>
            <w:tcBorders/>
            <w:vAlign w:val="center"/>
          </w:tcPr>
          <w:p>
            <w:pPr>
              <w:pStyle w:val="TableContents"/>
              <w:bidi w:val="0"/>
              <w:spacing w:before="0" w:after="283"/>
              <w:jc w:val="left"/>
              <w:rPr/>
            </w:pPr>
            <w:r>
              <w:rPr/>
              <w:t> </w:t>
            </w:r>
          </w:p>
        </w:tc>
        <w:tc>
          <w:tcPr>
            <w:tcW w:w="46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577"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2,985</w:t>
            </w:r>
          </w:p>
        </w:tc>
        <w:tc>
          <w:tcPr>
            <w:tcW w:w="191" w:type="dxa"/>
            <w:tcBorders/>
            <w:vAlign w:val="center"/>
          </w:tcPr>
          <w:p>
            <w:pPr>
              <w:pStyle w:val="TableContents"/>
              <w:bidi w:val="0"/>
              <w:spacing w:before="0" w:after="283"/>
              <w:jc w:val="left"/>
              <w:rPr/>
            </w:pPr>
            <w:r>
              <w:rPr/>
              <w:t> </w:t>
            </w:r>
          </w:p>
        </w:tc>
      </w:tr>
      <w:tr>
        <w:trPr/>
        <w:tc>
          <w:tcPr>
            <w:tcW w:w="5911" w:type="dxa"/>
            <w:tcBorders/>
            <w:tcMar>
              <w:top w:w="0" w:type="dxa"/>
              <w:left w:w="0" w:type="dxa"/>
              <w:bottom w:w="0" w:type="dxa"/>
              <w:right w:w="0" w:type="dxa"/>
            </w:tcMar>
            <w:vAlign w:val="center"/>
          </w:tcPr>
          <w:p>
            <w:pPr>
              <w:pStyle w:val="TableContents"/>
              <w:bidi w:val="0"/>
              <w:spacing w:before="0" w:after="283"/>
              <w:jc w:val="left"/>
              <w:rPr/>
            </w:pPr>
            <w:r>
              <w:rPr>
                <w:rStyle w:val="StrongEmphasis"/>
              </w:rPr>
              <w:t>Total current assets</w:t>
            </w:r>
          </w:p>
        </w:tc>
        <w:tc>
          <w:tcPr>
            <w:tcW w:w="305"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195"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273,883</w:t>
            </w:r>
          </w:p>
        </w:tc>
        <w:tc>
          <w:tcPr>
            <w:tcW w:w="146" w:type="dxa"/>
            <w:tcBorders/>
            <w:vAlign w:val="center"/>
          </w:tcPr>
          <w:p>
            <w:pPr>
              <w:pStyle w:val="TableContents"/>
              <w:bidi w:val="0"/>
              <w:spacing w:before="0" w:after="283"/>
              <w:jc w:val="left"/>
              <w:rPr/>
            </w:pPr>
            <w:r>
              <w:rPr/>
              <w:t> </w:t>
            </w:r>
          </w:p>
        </w:tc>
        <w:tc>
          <w:tcPr>
            <w:tcW w:w="463"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577"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94,456</w:t>
            </w:r>
          </w:p>
        </w:tc>
        <w:tc>
          <w:tcPr>
            <w:tcW w:w="191" w:type="dxa"/>
            <w:tcBorders/>
            <w:vAlign w:val="center"/>
          </w:tcPr>
          <w:p>
            <w:pPr>
              <w:pStyle w:val="TableContents"/>
              <w:bidi w:val="0"/>
              <w:spacing w:before="0" w:after="283"/>
              <w:jc w:val="left"/>
              <w:rPr/>
            </w:pPr>
            <w:r>
              <w:rPr/>
              <w:t> </w:t>
            </w:r>
          </w:p>
        </w:tc>
      </w:tr>
      <w:tr>
        <w:trPr/>
        <w:tc>
          <w:tcPr>
            <w:tcW w:w="5911" w:type="dxa"/>
            <w:tcBorders/>
            <w:vAlign w:val="center"/>
          </w:tcPr>
          <w:p>
            <w:pPr>
              <w:pStyle w:val="TableContents"/>
              <w:bidi w:val="0"/>
              <w:spacing w:before="0" w:after="283"/>
              <w:jc w:val="left"/>
              <w:rPr/>
            </w:pPr>
            <w:r>
              <w:rPr/>
              <w:t>Property and equipment, net of accumulated depreciation and</w:t>
              <w:br/>
              <w:t>impairment</w:t>
            </w:r>
          </w:p>
        </w:tc>
        <w:tc>
          <w:tcPr>
            <w:tcW w:w="305" w:type="dxa"/>
            <w:tcBorders/>
            <w:vAlign w:val="center"/>
          </w:tcPr>
          <w:p>
            <w:pPr>
              <w:pStyle w:val="TableContents"/>
              <w:bidi w:val="0"/>
              <w:spacing w:before="0" w:after="283"/>
              <w:jc w:val="right"/>
              <w:rPr/>
            </w:pPr>
            <w:r>
              <w:rPr/>
              <w:t> </w:t>
            </w:r>
          </w:p>
        </w:tc>
        <w:tc>
          <w:tcPr>
            <w:tcW w:w="1195" w:type="dxa"/>
            <w:tcBorders/>
            <w:vAlign w:val="center"/>
          </w:tcPr>
          <w:p>
            <w:pPr>
              <w:pStyle w:val="TableContents"/>
              <w:bidi w:val="0"/>
              <w:spacing w:before="0" w:after="283"/>
              <w:jc w:val="right"/>
              <w:rPr/>
            </w:pPr>
            <w:r>
              <w:rPr/>
              <w:t>10</w:t>
            </w:r>
          </w:p>
        </w:tc>
        <w:tc>
          <w:tcPr>
            <w:tcW w:w="146" w:type="dxa"/>
            <w:tcBorders/>
            <w:vAlign w:val="center"/>
          </w:tcPr>
          <w:p>
            <w:pPr>
              <w:pStyle w:val="TableContents"/>
              <w:bidi w:val="0"/>
              <w:spacing w:before="0" w:after="283"/>
              <w:jc w:val="left"/>
              <w:rPr/>
            </w:pPr>
            <w:r>
              <w:rPr/>
              <w:t> </w:t>
            </w:r>
          </w:p>
        </w:tc>
        <w:tc>
          <w:tcPr>
            <w:tcW w:w="463" w:type="dxa"/>
            <w:tcBorders/>
            <w:vAlign w:val="center"/>
          </w:tcPr>
          <w:p>
            <w:pPr>
              <w:pStyle w:val="TableContents"/>
              <w:bidi w:val="0"/>
              <w:spacing w:before="0" w:after="283"/>
              <w:jc w:val="right"/>
              <w:rPr/>
            </w:pPr>
            <w:r>
              <w:rPr/>
              <w:t> </w:t>
            </w:r>
          </w:p>
        </w:tc>
        <w:tc>
          <w:tcPr>
            <w:tcW w:w="1577" w:type="dxa"/>
            <w:tcBorders/>
            <w:vAlign w:val="center"/>
          </w:tcPr>
          <w:p>
            <w:pPr>
              <w:pStyle w:val="TableContents"/>
              <w:bidi w:val="0"/>
              <w:spacing w:before="0" w:after="283"/>
              <w:jc w:val="right"/>
              <w:rPr/>
            </w:pPr>
            <w:r>
              <w:rPr/>
              <w:t>32</w:t>
            </w:r>
          </w:p>
        </w:tc>
        <w:tc>
          <w:tcPr>
            <w:tcW w:w="191" w:type="dxa"/>
            <w:tcBorders/>
            <w:vAlign w:val="center"/>
          </w:tcPr>
          <w:p>
            <w:pPr>
              <w:pStyle w:val="TableContents"/>
              <w:bidi w:val="0"/>
              <w:spacing w:before="0" w:after="283"/>
              <w:jc w:val="left"/>
              <w:rPr/>
            </w:pPr>
            <w:r>
              <w:rPr/>
              <w:t> </w:t>
            </w:r>
          </w:p>
        </w:tc>
      </w:tr>
      <w:tr>
        <w:trPr/>
        <w:tc>
          <w:tcPr>
            <w:tcW w:w="5911" w:type="dxa"/>
            <w:tcBorders/>
            <w:vAlign w:val="center"/>
          </w:tcPr>
          <w:p>
            <w:pPr>
              <w:pStyle w:val="TableContents"/>
              <w:bidi w:val="0"/>
              <w:spacing w:before="0" w:after="283"/>
              <w:jc w:val="left"/>
              <w:rPr/>
            </w:pPr>
            <w:r>
              <w:rPr/>
              <w:t>Other non-current assets</w:t>
            </w:r>
          </w:p>
        </w:tc>
        <w:tc>
          <w:tcPr>
            <w:tcW w:w="30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9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132</w:t>
            </w:r>
          </w:p>
        </w:tc>
        <w:tc>
          <w:tcPr>
            <w:tcW w:w="146" w:type="dxa"/>
            <w:tcBorders/>
            <w:vAlign w:val="center"/>
          </w:tcPr>
          <w:p>
            <w:pPr>
              <w:pStyle w:val="TableContents"/>
              <w:bidi w:val="0"/>
              <w:spacing w:before="0" w:after="283"/>
              <w:jc w:val="left"/>
              <w:rPr/>
            </w:pPr>
            <w:r>
              <w:rPr/>
              <w:t> </w:t>
            </w:r>
          </w:p>
        </w:tc>
        <w:tc>
          <w:tcPr>
            <w:tcW w:w="46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577"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130</w:t>
            </w:r>
          </w:p>
        </w:tc>
        <w:tc>
          <w:tcPr>
            <w:tcW w:w="191" w:type="dxa"/>
            <w:tcBorders/>
            <w:vAlign w:val="center"/>
          </w:tcPr>
          <w:p>
            <w:pPr>
              <w:pStyle w:val="TableContents"/>
              <w:bidi w:val="0"/>
              <w:spacing w:before="0" w:after="283"/>
              <w:jc w:val="left"/>
              <w:rPr/>
            </w:pPr>
            <w:r>
              <w:rPr/>
              <w:t> </w:t>
            </w:r>
          </w:p>
        </w:tc>
      </w:tr>
      <w:tr>
        <w:trPr/>
        <w:tc>
          <w:tcPr>
            <w:tcW w:w="5911" w:type="dxa"/>
            <w:tcBorders/>
            <w:tcMar>
              <w:top w:w="0" w:type="dxa"/>
              <w:left w:w="0" w:type="dxa"/>
              <w:bottom w:w="0" w:type="dxa"/>
              <w:right w:w="0" w:type="dxa"/>
            </w:tcMar>
            <w:vAlign w:val="center"/>
          </w:tcPr>
          <w:p>
            <w:pPr>
              <w:pStyle w:val="TableContents"/>
              <w:bidi w:val="0"/>
              <w:spacing w:before="0" w:after="283"/>
              <w:jc w:val="left"/>
              <w:rPr/>
            </w:pPr>
            <w:r>
              <w:rPr>
                <w:rStyle w:val="StrongEmphasis"/>
              </w:rPr>
              <w:t>Total assets</w:t>
            </w:r>
          </w:p>
        </w:tc>
        <w:tc>
          <w:tcPr>
            <w:tcW w:w="30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19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274,025</w:t>
            </w:r>
          </w:p>
        </w:tc>
        <w:tc>
          <w:tcPr>
            <w:tcW w:w="146" w:type="dxa"/>
            <w:tcBorders/>
            <w:vAlign w:val="center"/>
          </w:tcPr>
          <w:p>
            <w:pPr>
              <w:pStyle w:val="TableContents"/>
              <w:bidi w:val="0"/>
              <w:spacing w:before="0" w:after="283"/>
              <w:jc w:val="left"/>
              <w:rPr/>
            </w:pPr>
            <w:r>
              <w:rPr/>
              <w:t> </w:t>
            </w:r>
          </w:p>
        </w:tc>
        <w:tc>
          <w:tcPr>
            <w:tcW w:w="463"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577"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94,618</w:t>
            </w:r>
          </w:p>
        </w:tc>
        <w:tc>
          <w:tcPr>
            <w:tcW w:w="191" w:type="dxa"/>
            <w:tcBorders/>
            <w:vAlign w:val="center"/>
          </w:tcPr>
          <w:p>
            <w:pPr>
              <w:pStyle w:val="TableContents"/>
              <w:bidi w:val="0"/>
              <w:spacing w:before="0" w:after="283"/>
              <w:jc w:val="left"/>
              <w:rPr/>
            </w:pPr>
            <w:r>
              <w:rPr/>
              <w:t> </w:t>
            </w:r>
          </w:p>
        </w:tc>
      </w:tr>
      <w:tr>
        <w:trPr/>
        <w:tc>
          <w:tcPr>
            <w:tcW w:w="5911" w:type="dxa"/>
            <w:tcBorders/>
            <w:vAlign w:val="center"/>
          </w:tcPr>
          <w:p>
            <w:pPr>
              <w:pStyle w:val="TableContents"/>
              <w:bidi w:val="0"/>
              <w:spacing w:before="0" w:after="283"/>
              <w:jc w:val="left"/>
              <w:rPr/>
            </w:pPr>
            <w:r>
              <w:rPr/>
              <w:t> </w:t>
            </w:r>
          </w:p>
        </w:tc>
        <w:tc>
          <w:tcPr>
            <w:tcW w:w="305" w:type="dxa"/>
            <w:tcBorders>
              <w:top w:val="double" w:sz="8" w:space="0" w:color="000000"/>
            </w:tcBorders>
            <w:tcMar>
              <w:left w:w="0" w:type="dxa"/>
              <w:bottom w:w="0" w:type="dxa"/>
              <w:right w:w="0" w:type="dxa"/>
            </w:tcMar>
            <w:vAlign w:val="center"/>
          </w:tcPr>
          <w:p>
            <w:pPr>
              <w:pStyle w:val="TableContents"/>
              <w:bidi w:val="0"/>
              <w:spacing w:before="0" w:after="283"/>
              <w:jc w:val="left"/>
              <w:rPr/>
            </w:pPr>
            <w:r>
              <w:rPr/>
              <w:t> </w:t>
            </w:r>
          </w:p>
        </w:tc>
        <w:tc>
          <w:tcPr>
            <w:tcW w:w="119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63" w:type="dxa"/>
            <w:tcBorders>
              <w:top w:val="double" w:sz="8" w:space="0" w:color="000000"/>
            </w:tcBorders>
            <w:tcMar>
              <w:left w:w="0" w:type="dxa"/>
              <w:bottom w:w="0" w:type="dxa"/>
              <w:right w:w="0" w:type="dxa"/>
            </w:tcMar>
            <w:vAlign w:val="center"/>
          </w:tcPr>
          <w:p>
            <w:pPr>
              <w:pStyle w:val="TableContents"/>
              <w:bidi w:val="0"/>
              <w:spacing w:before="0" w:after="283"/>
              <w:jc w:val="left"/>
              <w:rPr/>
            </w:pPr>
            <w:r>
              <w:rPr/>
              <w:t> </w:t>
            </w:r>
          </w:p>
        </w:tc>
        <w:tc>
          <w:tcPr>
            <w:tcW w:w="1577"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5911" w:type="dxa"/>
            <w:tcBorders/>
            <w:vAlign w:val="center"/>
          </w:tcPr>
          <w:p>
            <w:pPr>
              <w:pStyle w:val="TableContents"/>
              <w:bidi w:val="0"/>
              <w:spacing w:before="0" w:after="283"/>
              <w:jc w:val="left"/>
              <w:rPr/>
            </w:pPr>
            <w:r>
              <w:rPr/>
              <w:t>Accounts payable and accrued liabilities</w:t>
            </w:r>
          </w:p>
        </w:tc>
        <w:tc>
          <w:tcPr>
            <w:tcW w:w="305" w:type="dxa"/>
            <w:tcBorders/>
            <w:vAlign w:val="center"/>
          </w:tcPr>
          <w:p>
            <w:pPr>
              <w:pStyle w:val="TableContents"/>
              <w:bidi w:val="0"/>
              <w:spacing w:before="0" w:after="283"/>
              <w:jc w:val="right"/>
              <w:rPr/>
            </w:pPr>
            <w:r>
              <w:rPr/>
              <w:t>$</w:t>
            </w:r>
          </w:p>
        </w:tc>
        <w:tc>
          <w:tcPr>
            <w:tcW w:w="1195" w:type="dxa"/>
            <w:tcBorders/>
            <w:vAlign w:val="center"/>
          </w:tcPr>
          <w:p>
            <w:pPr>
              <w:pStyle w:val="TableContents"/>
              <w:bidi w:val="0"/>
              <w:spacing w:before="0" w:after="283"/>
              <w:jc w:val="right"/>
              <w:rPr/>
            </w:pPr>
            <w:r>
              <w:rPr/>
              <w:t>2,850</w:t>
            </w:r>
          </w:p>
        </w:tc>
        <w:tc>
          <w:tcPr>
            <w:tcW w:w="146" w:type="dxa"/>
            <w:tcBorders/>
            <w:vAlign w:val="center"/>
          </w:tcPr>
          <w:p>
            <w:pPr>
              <w:pStyle w:val="TableContents"/>
              <w:bidi w:val="0"/>
              <w:spacing w:before="0" w:after="283"/>
              <w:jc w:val="left"/>
              <w:rPr/>
            </w:pPr>
            <w:r>
              <w:rPr/>
              <w:t> </w:t>
            </w:r>
          </w:p>
        </w:tc>
        <w:tc>
          <w:tcPr>
            <w:tcW w:w="463" w:type="dxa"/>
            <w:tcBorders/>
            <w:vAlign w:val="center"/>
          </w:tcPr>
          <w:p>
            <w:pPr>
              <w:pStyle w:val="TableContents"/>
              <w:bidi w:val="0"/>
              <w:spacing w:before="0" w:after="283"/>
              <w:jc w:val="right"/>
              <w:rPr/>
            </w:pPr>
            <w:r>
              <w:rPr/>
              <w:t>$</w:t>
            </w:r>
          </w:p>
        </w:tc>
        <w:tc>
          <w:tcPr>
            <w:tcW w:w="1577" w:type="dxa"/>
            <w:tcBorders/>
            <w:vAlign w:val="center"/>
          </w:tcPr>
          <w:p>
            <w:pPr>
              <w:pStyle w:val="TableContents"/>
              <w:bidi w:val="0"/>
              <w:spacing w:before="0" w:after="283"/>
              <w:jc w:val="right"/>
              <w:rPr/>
            </w:pPr>
            <w:r>
              <w:rPr/>
              <w:t>5,459</w:t>
            </w:r>
          </w:p>
        </w:tc>
        <w:tc>
          <w:tcPr>
            <w:tcW w:w="191" w:type="dxa"/>
            <w:tcBorders/>
            <w:vAlign w:val="center"/>
          </w:tcPr>
          <w:p>
            <w:pPr>
              <w:pStyle w:val="TableContents"/>
              <w:bidi w:val="0"/>
              <w:spacing w:before="0" w:after="283"/>
              <w:jc w:val="left"/>
              <w:rPr/>
            </w:pPr>
            <w:r>
              <w:rPr/>
              <w:t> </w:t>
            </w:r>
          </w:p>
        </w:tc>
      </w:tr>
      <w:tr>
        <w:trPr/>
        <w:tc>
          <w:tcPr>
            <w:tcW w:w="5911" w:type="dxa"/>
            <w:tcBorders/>
            <w:vAlign w:val="center"/>
          </w:tcPr>
          <w:p>
            <w:pPr>
              <w:pStyle w:val="TableContents"/>
              <w:bidi w:val="0"/>
              <w:spacing w:before="0" w:after="283"/>
              <w:jc w:val="left"/>
              <w:rPr/>
            </w:pPr>
            <w:r>
              <w:rPr/>
              <w:t>Lease liability, current</w:t>
            </w:r>
          </w:p>
        </w:tc>
        <w:tc>
          <w:tcPr>
            <w:tcW w:w="30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9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514</w:t>
            </w:r>
          </w:p>
        </w:tc>
        <w:tc>
          <w:tcPr>
            <w:tcW w:w="146" w:type="dxa"/>
            <w:tcBorders/>
            <w:vAlign w:val="center"/>
          </w:tcPr>
          <w:p>
            <w:pPr>
              <w:pStyle w:val="TableContents"/>
              <w:bidi w:val="0"/>
              <w:spacing w:before="0" w:after="283"/>
              <w:jc w:val="left"/>
              <w:rPr/>
            </w:pPr>
            <w:r>
              <w:rPr/>
              <w:t> </w:t>
            </w:r>
          </w:p>
        </w:tc>
        <w:tc>
          <w:tcPr>
            <w:tcW w:w="46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577"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547</w:t>
            </w:r>
          </w:p>
        </w:tc>
        <w:tc>
          <w:tcPr>
            <w:tcW w:w="191" w:type="dxa"/>
            <w:tcBorders/>
            <w:vAlign w:val="center"/>
          </w:tcPr>
          <w:p>
            <w:pPr>
              <w:pStyle w:val="TableContents"/>
              <w:bidi w:val="0"/>
              <w:spacing w:before="0" w:after="283"/>
              <w:jc w:val="left"/>
              <w:rPr/>
            </w:pPr>
            <w:r>
              <w:rPr/>
              <w:t> </w:t>
            </w:r>
          </w:p>
        </w:tc>
      </w:tr>
      <w:tr>
        <w:trPr/>
        <w:tc>
          <w:tcPr>
            <w:tcW w:w="5911" w:type="dxa"/>
            <w:tcBorders/>
            <w:tcMar>
              <w:top w:w="0" w:type="dxa"/>
              <w:left w:w="0" w:type="dxa"/>
              <w:bottom w:w="0" w:type="dxa"/>
              <w:right w:w="0" w:type="dxa"/>
            </w:tcMar>
            <w:vAlign w:val="center"/>
          </w:tcPr>
          <w:p>
            <w:pPr>
              <w:pStyle w:val="TableContents"/>
              <w:bidi w:val="0"/>
              <w:spacing w:before="0" w:after="283"/>
              <w:jc w:val="left"/>
              <w:rPr/>
            </w:pPr>
            <w:r>
              <w:rPr>
                <w:rStyle w:val="StrongEmphasis"/>
              </w:rPr>
              <w:t>Total current liabilities</w:t>
            </w:r>
          </w:p>
        </w:tc>
        <w:tc>
          <w:tcPr>
            <w:tcW w:w="305"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195"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3,364</w:t>
            </w:r>
          </w:p>
        </w:tc>
        <w:tc>
          <w:tcPr>
            <w:tcW w:w="146" w:type="dxa"/>
            <w:tcBorders/>
            <w:vAlign w:val="center"/>
          </w:tcPr>
          <w:p>
            <w:pPr>
              <w:pStyle w:val="TableContents"/>
              <w:bidi w:val="0"/>
              <w:spacing w:before="0" w:after="283"/>
              <w:jc w:val="left"/>
              <w:rPr/>
            </w:pPr>
            <w:r>
              <w:rPr/>
              <w:t> </w:t>
            </w:r>
          </w:p>
        </w:tc>
        <w:tc>
          <w:tcPr>
            <w:tcW w:w="463"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577"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6,006</w:t>
            </w:r>
          </w:p>
        </w:tc>
        <w:tc>
          <w:tcPr>
            <w:tcW w:w="191" w:type="dxa"/>
            <w:tcBorders/>
            <w:vAlign w:val="center"/>
          </w:tcPr>
          <w:p>
            <w:pPr>
              <w:pStyle w:val="TableContents"/>
              <w:bidi w:val="0"/>
              <w:spacing w:before="0" w:after="283"/>
              <w:jc w:val="left"/>
              <w:rPr/>
            </w:pPr>
            <w:r>
              <w:rPr/>
              <w:t> </w:t>
            </w:r>
          </w:p>
        </w:tc>
      </w:tr>
      <w:tr>
        <w:trPr/>
        <w:tc>
          <w:tcPr>
            <w:tcW w:w="5911" w:type="dxa"/>
            <w:tcBorders/>
            <w:vAlign w:val="center"/>
          </w:tcPr>
          <w:p>
            <w:pPr>
              <w:pStyle w:val="TableContents"/>
              <w:bidi w:val="0"/>
              <w:spacing w:before="0" w:after="283"/>
              <w:jc w:val="left"/>
              <w:rPr/>
            </w:pPr>
            <w:r>
              <w:rPr/>
              <w:t>Liability related to sale of future royalties</w:t>
            </w:r>
          </w:p>
        </w:tc>
        <w:tc>
          <w:tcPr>
            <w:tcW w:w="305" w:type="dxa"/>
            <w:tcBorders/>
            <w:vAlign w:val="center"/>
          </w:tcPr>
          <w:p>
            <w:pPr>
              <w:pStyle w:val="TableContents"/>
              <w:bidi w:val="0"/>
              <w:spacing w:before="0" w:after="283"/>
              <w:jc w:val="right"/>
              <w:rPr/>
            </w:pPr>
            <w:r>
              <w:rPr/>
              <w:t> </w:t>
            </w:r>
          </w:p>
        </w:tc>
        <w:tc>
          <w:tcPr>
            <w:tcW w:w="1195" w:type="dxa"/>
            <w:tcBorders/>
            <w:vAlign w:val="center"/>
          </w:tcPr>
          <w:p>
            <w:pPr>
              <w:pStyle w:val="TableContents"/>
              <w:bidi w:val="0"/>
              <w:spacing w:before="0" w:after="283"/>
              <w:jc w:val="right"/>
              <w:rPr/>
            </w:pPr>
            <w:r>
              <w:rPr/>
              <w:t>3,111</w:t>
            </w:r>
          </w:p>
        </w:tc>
        <w:tc>
          <w:tcPr>
            <w:tcW w:w="146" w:type="dxa"/>
            <w:tcBorders/>
            <w:vAlign w:val="center"/>
          </w:tcPr>
          <w:p>
            <w:pPr>
              <w:pStyle w:val="TableContents"/>
              <w:bidi w:val="0"/>
              <w:spacing w:before="0" w:after="283"/>
              <w:jc w:val="left"/>
              <w:rPr/>
            </w:pPr>
            <w:r>
              <w:rPr/>
              <w:t> </w:t>
            </w:r>
          </w:p>
        </w:tc>
        <w:tc>
          <w:tcPr>
            <w:tcW w:w="463" w:type="dxa"/>
            <w:tcBorders/>
            <w:vAlign w:val="center"/>
          </w:tcPr>
          <w:p>
            <w:pPr>
              <w:pStyle w:val="TableContents"/>
              <w:bidi w:val="0"/>
              <w:spacing w:before="0" w:after="283"/>
              <w:jc w:val="right"/>
              <w:rPr/>
            </w:pPr>
            <w:r>
              <w:rPr/>
              <w:t> </w:t>
            </w:r>
          </w:p>
        </w:tc>
        <w:tc>
          <w:tcPr>
            <w:tcW w:w="1577" w:type="dxa"/>
            <w:tcBorders/>
            <w:vAlign w:val="center"/>
          </w:tcPr>
          <w:p>
            <w:pPr>
              <w:pStyle w:val="TableContents"/>
              <w:bidi w:val="0"/>
              <w:spacing w:before="0" w:after="283"/>
              <w:jc w:val="right"/>
              <w:rPr/>
            </w:pPr>
            <w:r>
              <w:rPr/>
              <w:t>3,442</w:t>
            </w:r>
          </w:p>
        </w:tc>
        <w:tc>
          <w:tcPr>
            <w:tcW w:w="191" w:type="dxa"/>
            <w:tcBorders/>
            <w:vAlign w:val="center"/>
          </w:tcPr>
          <w:p>
            <w:pPr>
              <w:pStyle w:val="TableContents"/>
              <w:bidi w:val="0"/>
              <w:spacing w:before="0" w:after="283"/>
              <w:jc w:val="left"/>
              <w:rPr/>
            </w:pPr>
            <w:r>
              <w:rPr/>
              <w:t> </w:t>
            </w:r>
          </w:p>
        </w:tc>
      </w:tr>
      <w:tr>
        <w:trPr/>
        <w:tc>
          <w:tcPr>
            <w:tcW w:w="5911" w:type="dxa"/>
            <w:tcBorders/>
            <w:vAlign w:val="center"/>
          </w:tcPr>
          <w:p>
            <w:pPr>
              <w:pStyle w:val="TableContents"/>
              <w:bidi w:val="0"/>
              <w:spacing w:before="0" w:after="283"/>
              <w:jc w:val="left"/>
              <w:rPr/>
            </w:pPr>
            <w:r>
              <w:rPr/>
              <w:t>Contingent consideration</w:t>
            </w:r>
          </w:p>
        </w:tc>
        <w:tc>
          <w:tcPr>
            <w:tcW w:w="305" w:type="dxa"/>
            <w:tcBorders/>
            <w:vAlign w:val="center"/>
          </w:tcPr>
          <w:p>
            <w:pPr>
              <w:pStyle w:val="TableContents"/>
              <w:bidi w:val="0"/>
              <w:spacing w:before="0" w:after="283"/>
              <w:jc w:val="right"/>
              <w:rPr/>
            </w:pPr>
            <w:r>
              <w:rPr/>
              <w:t> </w:t>
            </w:r>
          </w:p>
        </w:tc>
        <w:tc>
          <w:tcPr>
            <w:tcW w:w="1195" w:type="dxa"/>
            <w:tcBorders/>
            <w:vAlign w:val="center"/>
          </w:tcPr>
          <w:p>
            <w:pPr>
              <w:pStyle w:val="TableContents"/>
              <w:bidi w:val="0"/>
              <w:spacing w:before="0" w:after="283"/>
              <w:jc w:val="right"/>
              <w:rPr/>
            </w:pPr>
            <w:r>
              <w:rPr/>
              <w:t>8,817</w:t>
            </w:r>
          </w:p>
        </w:tc>
        <w:tc>
          <w:tcPr>
            <w:tcW w:w="146" w:type="dxa"/>
            <w:tcBorders/>
            <w:vAlign w:val="center"/>
          </w:tcPr>
          <w:p>
            <w:pPr>
              <w:pStyle w:val="TableContents"/>
              <w:bidi w:val="0"/>
              <w:spacing w:before="0" w:after="283"/>
              <w:jc w:val="left"/>
              <w:rPr/>
            </w:pPr>
            <w:r>
              <w:rPr/>
              <w:t> </w:t>
            </w:r>
          </w:p>
        </w:tc>
        <w:tc>
          <w:tcPr>
            <w:tcW w:w="463" w:type="dxa"/>
            <w:tcBorders/>
            <w:vAlign w:val="center"/>
          </w:tcPr>
          <w:p>
            <w:pPr>
              <w:pStyle w:val="TableContents"/>
              <w:bidi w:val="0"/>
              <w:spacing w:before="0" w:after="283"/>
              <w:jc w:val="right"/>
              <w:rPr/>
            </w:pPr>
            <w:r>
              <w:rPr/>
              <w:t> </w:t>
            </w:r>
          </w:p>
        </w:tc>
        <w:tc>
          <w:tcPr>
            <w:tcW w:w="1577" w:type="dxa"/>
            <w:tcBorders/>
            <w:vAlign w:val="center"/>
          </w:tcPr>
          <w:p>
            <w:pPr>
              <w:pStyle w:val="TableContents"/>
              <w:bidi w:val="0"/>
              <w:spacing w:before="0" w:after="283"/>
              <w:jc w:val="right"/>
              <w:rPr/>
            </w:pPr>
            <w:r>
              <w:rPr/>
              <w:t>8,395</w:t>
            </w:r>
          </w:p>
        </w:tc>
        <w:tc>
          <w:tcPr>
            <w:tcW w:w="191" w:type="dxa"/>
            <w:tcBorders/>
            <w:vAlign w:val="center"/>
          </w:tcPr>
          <w:p>
            <w:pPr>
              <w:pStyle w:val="TableContents"/>
              <w:bidi w:val="0"/>
              <w:spacing w:before="0" w:after="283"/>
              <w:jc w:val="left"/>
              <w:rPr/>
            </w:pPr>
            <w:r>
              <w:rPr/>
              <w:t> </w:t>
            </w:r>
          </w:p>
        </w:tc>
      </w:tr>
      <w:tr>
        <w:trPr/>
        <w:tc>
          <w:tcPr>
            <w:tcW w:w="5911" w:type="dxa"/>
            <w:tcBorders/>
            <w:vAlign w:val="center"/>
          </w:tcPr>
          <w:p>
            <w:pPr>
              <w:pStyle w:val="TableContents"/>
              <w:bidi w:val="0"/>
              <w:spacing w:before="0" w:after="283"/>
              <w:jc w:val="left"/>
              <w:rPr/>
            </w:pPr>
            <w:r>
              <w:rPr/>
              <w:t>Lease liability, non-current</w:t>
            </w:r>
          </w:p>
        </w:tc>
        <w:tc>
          <w:tcPr>
            <w:tcW w:w="305" w:type="dxa"/>
            <w:tcBorders/>
            <w:vAlign w:val="center"/>
          </w:tcPr>
          <w:p>
            <w:pPr>
              <w:pStyle w:val="TableContents"/>
              <w:bidi w:val="0"/>
              <w:spacing w:before="0" w:after="283"/>
              <w:jc w:val="right"/>
              <w:rPr/>
            </w:pPr>
            <w:r>
              <w:rPr/>
              <w:t> </w:t>
            </w:r>
          </w:p>
        </w:tc>
        <w:tc>
          <w:tcPr>
            <w:tcW w:w="1195" w:type="dxa"/>
            <w:tcBorders/>
            <w:vAlign w:val="center"/>
          </w:tcPr>
          <w:p>
            <w:pPr>
              <w:pStyle w:val="TableContents"/>
              <w:bidi w:val="0"/>
              <w:spacing w:before="0" w:after="283"/>
              <w:jc w:val="right"/>
              <w:rPr/>
            </w:pPr>
            <w:r>
              <w:rPr/>
              <w:t>—</w:t>
            </w:r>
          </w:p>
        </w:tc>
        <w:tc>
          <w:tcPr>
            <w:tcW w:w="146" w:type="dxa"/>
            <w:tcBorders/>
            <w:vAlign w:val="center"/>
          </w:tcPr>
          <w:p>
            <w:pPr>
              <w:pStyle w:val="TableContents"/>
              <w:bidi w:val="0"/>
              <w:spacing w:before="0" w:after="283"/>
              <w:jc w:val="left"/>
              <w:rPr/>
            </w:pPr>
            <w:r>
              <w:rPr/>
              <w:t> </w:t>
            </w:r>
          </w:p>
        </w:tc>
        <w:tc>
          <w:tcPr>
            <w:tcW w:w="463" w:type="dxa"/>
            <w:tcBorders/>
            <w:vAlign w:val="center"/>
          </w:tcPr>
          <w:p>
            <w:pPr>
              <w:pStyle w:val="TableContents"/>
              <w:bidi w:val="0"/>
              <w:spacing w:before="0" w:after="283"/>
              <w:jc w:val="right"/>
              <w:rPr/>
            </w:pPr>
            <w:r>
              <w:rPr/>
              <w:t> </w:t>
            </w:r>
          </w:p>
        </w:tc>
        <w:tc>
          <w:tcPr>
            <w:tcW w:w="1577" w:type="dxa"/>
            <w:tcBorders/>
            <w:vAlign w:val="center"/>
          </w:tcPr>
          <w:p>
            <w:pPr>
              <w:pStyle w:val="TableContents"/>
              <w:bidi w:val="0"/>
              <w:spacing w:before="0" w:after="283"/>
              <w:jc w:val="right"/>
              <w:rPr/>
            </w:pPr>
            <w:r>
              <w:rPr/>
              <w:t>199</w:t>
            </w:r>
          </w:p>
        </w:tc>
        <w:tc>
          <w:tcPr>
            <w:tcW w:w="191" w:type="dxa"/>
            <w:tcBorders/>
            <w:vAlign w:val="center"/>
          </w:tcPr>
          <w:p>
            <w:pPr>
              <w:pStyle w:val="TableContents"/>
              <w:bidi w:val="0"/>
              <w:spacing w:before="0" w:after="283"/>
              <w:jc w:val="left"/>
              <w:rPr/>
            </w:pPr>
            <w:r>
              <w:rPr/>
              <w:t> </w:t>
            </w:r>
          </w:p>
        </w:tc>
      </w:tr>
      <w:tr>
        <w:trPr/>
        <w:tc>
          <w:tcPr>
            <w:tcW w:w="5911" w:type="dxa"/>
            <w:tcBorders/>
            <w:vAlign w:val="center"/>
          </w:tcPr>
          <w:p>
            <w:pPr>
              <w:pStyle w:val="TableContents"/>
              <w:bidi w:val="0"/>
              <w:spacing w:before="0" w:after="283"/>
              <w:jc w:val="left"/>
              <w:rPr/>
            </w:pPr>
            <w:r>
              <w:rPr/>
              <w:t>Total stockholders’ equity</w:t>
            </w:r>
          </w:p>
        </w:tc>
        <w:tc>
          <w:tcPr>
            <w:tcW w:w="30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9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258,733</w:t>
            </w:r>
          </w:p>
        </w:tc>
        <w:tc>
          <w:tcPr>
            <w:tcW w:w="146" w:type="dxa"/>
            <w:tcBorders/>
            <w:vAlign w:val="center"/>
          </w:tcPr>
          <w:p>
            <w:pPr>
              <w:pStyle w:val="TableContents"/>
              <w:bidi w:val="0"/>
              <w:spacing w:before="0" w:after="283"/>
              <w:jc w:val="left"/>
              <w:rPr/>
            </w:pPr>
            <w:r>
              <w:rPr/>
              <w:t> </w:t>
            </w:r>
          </w:p>
        </w:tc>
        <w:tc>
          <w:tcPr>
            <w:tcW w:w="46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577"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76,576</w:t>
            </w:r>
          </w:p>
        </w:tc>
        <w:tc>
          <w:tcPr>
            <w:tcW w:w="191" w:type="dxa"/>
            <w:tcBorders/>
            <w:vAlign w:val="center"/>
          </w:tcPr>
          <w:p>
            <w:pPr>
              <w:pStyle w:val="TableContents"/>
              <w:bidi w:val="0"/>
              <w:spacing w:before="0" w:after="283"/>
              <w:jc w:val="left"/>
              <w:rPr/>
            </w:pPr>
            <w:r>
              <w:rPr/>
              <w:t> </w:t>
            </w:r>
          </w:p>
        </w:tc>
      </w:tr>
      <w:tr>
        <w:trPr/>
        <w:tc>
          <w:tcPr>
            <w:tcW w:w="5911" w:type="dxa"/>
            <w:tcBorders/>
            <w:tcMar>
              <w:top w:w="0" w:type="dxa"/>
              <w:left w:w="0" w:type="dxa"/>
              <w:bottom w:w="0" w:type="dxa"/>
              <w:right w:w="0" w:type="dxa"/>
            </w:tcMar>
            <w:vAlign w:val="center"/>
          </w:tcPr>
          <w:p>
            <w:pPr>
              <w:pStyle w:val="TableContents"/>
              <w:bidi w:val="0"/>
              <w:spacing w:before="0" w:after="283"/>
              <w:jc w:val="left"/>
              <w:rPr/>
            </w:pPr>
            <w:r>
              <w:rPr>
                <w:rStyle w:val="StrongEmphasis"/>
              </w:rPr>
              <w:t>Total liabilities and stockholders’ equity</w:t>
            </w:r>
          </w:p>
        </w:tc>
        <w:tc>
          <w:tcPr>
            <w:tcW w:w="30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19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274,025</w:t>
            </w:r>
          </w:p>
        </w:tc>
        <w:tc>
          <w:tcPr>
            <w:tcW w:w="146" w:type="dxa"/>
            <w:tcBorders/>
            <w:vAlign w:val="center"/>
          </w:tcPr>
          <w:p>
            <w:pPr>
              <w:pStyle w:val="TableContents"/>
              <w:bidi w:val="0"/>
              <w:spacing w:before="0" w:after="283"/>
              <w:jc w:val="left"/>
              <w:rPr/>
            </w:pPr>
            <w:r>
              <w:rPr/>
              <w:t> </w:t>
            </w:r>
          </w:p>
        </w:tc>
        <w:tc>
          <w:tcPr>
            <w:tcW w:w="463"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577"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94,618</w:t>
            </w:r>
          </w:p>
        </w:tc>
        <w:tc>
          <w:tcPr>
            <w:tcW w:w="191" w:type="dxa"/>
            <w:tcBorders/>
            <w:vAlign w:val="center"/>
          </w:tcPr>
          <w:p>
            <w:pPr>
              <w:pStyle w:val="TableContents"/>
              <w:bidi w:val="0"/>
              <w:spacing w:before="0" w:after="283"/>
              <w:jc w:val="left"/>
              <w:rPr/>
            </w:pPr>
            <w:r>
              <w:rPr/>
              <w:t> </w:t>
            </w:r>
          </w:p>
        </w:tc>
      </w:tr>
      <w:tr>
        <w:trPr/>
        <w:tc>
          <w:tcPr>
            <w:tcW w:w="9788" w:type="dxa"/>
            <w:gridSpan w:val="7"/>
            <w:tcBorders/>
            <w:vAlign w:val="center"/>
          </w:tcPr>
          <w:p>
            <w:pPr>
              <w:pStyle w:val="TableContents"/>
              <w:bidi w:val="0"/>
              <w:spacing w:before="0" w:after="283"/>
              <w:jc w:val="left"/>
              <w:rPr/>
            </w:pPr>
            <w:r>
              <w:rPr/>
              <w:t> </w:t>
            </w:r>
          </w:p>
        </w:tc>
      </w:tr>
    </w:tbl>
    <w:p>
      <w:pPr>
        <w:pStyle w:val="TextBody"/>
        <w:bidi w:val="0"/>
        <w:jc w:val="left"/>
        <w:rPr/>
      </w:pPr>
      <w:r>
        <w:rPr/>
      </w:r>
    </w:p>
    <w:tbl>
      <w:tblPr>
        <w:tblW w:w="9759" w:type="dxa"/>
        <w:jc w:val="left"/>
        <w:tblInd w:w="0" w:type="dxa"/>
        <w:tblLayout w:type="fixed"/>
        <w:tblCellMar>
          <w:top w:w="28" w:type="dxa"/>
          <w:left w:w="28" w:type="dxa"/>
          <w:bottom w:w="28" w:type="dxa"/>
          <w:right w:w="28" w:type="dxa"/>
        </w:tblCellMar>
      </w:tblPr>
      <w:tblGrid>
        <w:gridCol w:w="6661"/>
        <w:gridCol w:w="238"/>
        <w:gridCol w:w="1012"/>
        <w:gridCol w:w="190"/>
        <w:gridCol w:w="153"/>
        <w:gridCol w:w="238"/>
        <w:gridCol w:w="886"/>
        <w:gridCol w:w="190"/>
        <w:gridCol w:w="191"/>
      </w:tblGrid>
      <w:tr>
        <w:trPr/>
        <w:tc>
          <w:tcPr>
            <w:tcW w:w="9759" w:type="dxa"/>
            <w:gridSpan w:val="9"/>
            <w:tcBorders/>
            <w:vAlign w:val="center"/>
          </w:tcPr>
          <w:p>
            <w:pPr>
              <w:pStyle w:val="TableContents"/>
              <w:bidi w:val="0"/>
              <w:spacing w:before="0" w:after="283"/>
              <w:jc w:val="center"/>
              <w:rPr/>
            </w:pPr>
            <w:r>
              <w:rPr>
                <w:rStyle w:val="StrongEmphasis"/>
              </w:rPr>
              <w:t>UNAUDITED CONDENSED CONSOLIDATED STATEMENTS OF CASH FLOWS</w:t>
              <w:br/>
              <w:t>(in thousands)</w:t>
            </w:r>
          </w:p>
        </w:tc>
      </w:tr>
      <w:tr>
        <w:trPr/>
        <w:tc>
          <w:tcPr>
            <w:tcW w:w="9759" w:type="dxa"/>
            <w:gridSpan w:val="9"/>
            <w:tcBorders/>
            <w:vAlign w:val="center"/>
          </w:tcPr>
          <w:p>
            <w:pPr>
              <w:pStyle w:val="TableContents"/>
              <w:bidi w:val="0"/>
              <w:spacing w:before="0" w:after="283"/>
              <w:jc w:val="left"/>
              <w:rPr/>
            </w:pPr>
            <w:r>
              <w:rPr/>
              <w:t> </w:t>
            </w:r>
          </w:p>
        </w:tc>
      </w:tr>
      <w:tr>
        <w:trPr/>
        <w:tc>
          <w:tcPr>
            <w:tcW w:w="6661" w:type="dxa"/>
            <w:tcBorders/>
            <w:vAlign w:val="center"/>
          </w:tcPr>
          <w:p>
            <w:pPr>
              <w:pStyle w:val="TableContents"/>
              <w:bidi w:val="0"/>
              <w:spacing w:before="0" w:after="283"/>
              <w:jc w:val="left"/>
              <w:rPr/>
            </w:pPr>
            <w:r>
              <w:rPr/>
              <w:t> </w:t>
            </w:r>
          </w:p>
        </w:tc>
        <w:tc>
          <w:tcPr>
            <w:tcW w:w="2907" w:type="dxa"/>
            <w:gridSpan w:val="7"/>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Six Months Ended June 30,</w:t>
            </w:r>
          </w:p>
        </w:tc>
        <w:tc>
          <w:tcPr>
            <w:tcW w:w="191" w:type="dxa"/>
            <w:tcBorders/>
            <w:vAlign w:val="center"/>
          </w:tcPr>
          <w:p>
            <w:pPr>
              <w:pStyle w:val="TableContents"/>
              <w:bidi w:val="0"/>
              <w:spacing w:before="0" w:after="283"/>
              <w:jc w:val="left"/>
              <w:rPr/>
            </w:pPr>
            <w:r>
              <w:rPr/>
              <w:t> </w:t>
            </w:r>
          </w:p>
        </w:tc>
      </w:tr>
      <w:tr>
        <w:trPr/>
        <w:tc>
          <w:tcPr>
            <w:tcW w:w="6661" w:type="dxa"/>
            <w:tcBorders/>
            <w:vAlign w:val="center"/>
          </w:tcPr>
          <w:p>
            <w:pPr>
              <w:pStyle w:val="TableContents"/>
              <w:bidi w:val="0"/>
              <w:spacing w:before="0" w:after="283"/>
              <w:jc w:val="left"/>
              <w:rPr/>
            </w:pPr>
            <w:r>
              <w:rPr/>
              <w:t> </w:t>
            </w:r>
          </w:p>
        </w:tc>
        <w:tc>
          <w:tcPr>
            <w:tcW w:w="1440"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2026</w:t>
            </w:r>
          </w:p>
        </w:tc>
        <w:tc>
          <w:tcPr>
            <w:tcW w:w="153"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1314"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2025</w:t>
            </w:r>
          </w:p>
        </w:tc>
        <w:tc>
          <w:tcPr>
            <w:tcW w:w="191" w:type="dxa"/>
            <w:tcBorders/>
            <w:vAlign w:val="center"/>
          </w:tcPr>
          <w:p>
            <w:pPr>
              <w:pStyle w:val="TableContents"/>
              <w:bidi w:val="0"/>
              <w:spacing w:before="0" w:after="283"/>
              <w:jc w:val="left"/>
              <w:rPr/>
            </w:pPr>
            <w:r>
              <w:rPr/>
              <w:t> </w:t>
            </w:r>
          </w:p>
        </w:tc>
      </w:tr>
      <w:tr>
        <w:trPr/>
        <w:tc>
          <w:tcPr>
            <w:tcW w:w="6661" w:type="dxa"/>
            <w:tcBorders/>
            <w:vAlign w:val="center"/>
          </w:tcPr>
          <w:p>
            <w:pPr>
              <w:pStyle w:val="TableContents"/>
              <w:bidi w:val="0"/>
              <w:spacing w:before="0" w:after="283"/>
              <w:jc w:val="left"/>
              <w:rPr/>
            </w:pPr>
            <w:r>
              <w:rPr/>
              <w:t>Net income (loss)</w:t>
            </w:r>
          </w:p>
        </w:tc>
        <w:tc>
          <w:tcPr>
            <w:tcW w:w="238"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w:t>
            </w:r>
          </w:p>
        </w:tc>
        <w:tc>
          <w:tcPr>
            <w:tcW w:w="1012"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164,552</w:t>
            </w:r>
          </w:p>
        </w:tc>
        <w:tc>
          <w:tcPr>
            <w:tcW w:w="190"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238"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w:t>
            </w:r>
          </w:p>
        </w:tc>
        <w:tc>
          <w:tcPr>
            <w:tcW w:w="88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(22,003</w:t>
            </w:r>
          </w:p>
        </w:tc>
        <w:tc>
          <w:tcPr>
            <w:tcW w:w="190"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w:t>
            </w:r>
          </w:p>
        </w:tc>
        <w:tc>
          <w:tcPr>
            <w:tcW w:w="191" w:type="dxa"/>
            <w:tcBorders/>
            <w:vAlign w:val="center"/>
          </w:tcPr>
          <w:p>
            <w:pPr>
              <w:pStyle w:val="TableContents"/>
              <w:bidi w:val="0"/>
              <w:spacing w:before="0" w:after="283"/>
              <w:jc w:val="left"/>
              <w:rPr/>
            </w:pPr>
            <w:r>
              <w:rPr/>
              <w:t> </w:t>
            </w:r>
          </w:p>
        </w:tc>
      </w:tr>
      <w:tr>
        <w:trPr/>
        <w:tc>
          <w:tcPr>
            <w:tcW w:w="6661" w:type="dxa"/>
            <w:tcBorders/>
            <w:vAlign w:val="center"/>
          </w:tcPr>
          <w:p>
            <w:pPr>
              <w:pStyle w:val="TableContents"/>
              <w:bidi w:val="0"/>
              <w:spacing w:before="0" w:after="283"/>
              <w:jc w:val="left"/>
              <w:rPr/>
            </w:pPr>
            <w:r>
              <w:rPr/>
              <w:t>Non-cash items</w:t>
            </w:r>
          </w:p>
        </w:tc>
        <w:tc>
          <w:tcPr>
            <w:tcW w:w="238" w:type="dxa"/>
            <w:tcBorders/>
            <w:vAlign w:val="center"/>
          </w:tcPr>
          <w:p>
            <w:pPr>
              <w:pStyle w:val="TableContents"/>
              <w:bidi w:val="0"/>
              <w:spacing w:before="0" w:after="283"/>
              <w:jc w:val="right"/>
              <w:rPr/>
            </w:pPr>
            <w:r>
              <w:rPr/>
              <w:t> </w:t>
            </w:r>
          </w:p>
        </w:tc>
        <w:tc>
          <w:tcPr>
            <w:tcW w:w="1012" w:type="dxa"/>
            <w:tcBorders/>
            <w:vAlign w:val="center"/>
          </w:tcPr>
          <w:p>
            <w:pPr>
              <w:pStyle w:val="TableContents"/>
              <w:bidi w:val="0"/>
              <w:spacing w:before="0" w:after="283"/>
              <w:jc w:val="right"/>
              <w:rPr/>
            </w:pPr>
            <w:r>
              <w:rPr/>
              <w:t>2,422</w:t>
            </w:r>
          </w:p>
        </w:tc>
        <w:tc>
          <w:tcPr>
            <w:tcW w:w="19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5,834</w:t>
            </w:r>
          </w:p>
        </w:tc>
        <w:tc>
          <w:tcPr>
            <w:tcW w:w="19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6661" w:type="dxa"/>
            <w:tcBorders/>
            <w:vAlign w:val="center"/>
          </w:tcPr>
          <w:p>
            <w:pPr>
              <w:pStyle w:val="TableContents"/>
              <w:bidi w:val="0"/>
              <w:spacing w:before="0" w:after="283"/>
              <w:jc w:val="left"/>
              <w:rPr/>
            </w:pPr>
            <w:r>
              <w:rPr/>
              <w:t>Receivable from Genevant license</w:t>
            </w:r>
          </w:p>
        </w:tc>
        <w:tc>
          <w:tcPr>
            <w:tcW w:w="238" w:type="dxa"/>
            <w:tcBorders/>
            <w:vAlign w:val="center"/>
          </w:tcPr>
          <w:p>
            <w:pPr>
              <w:pStyle w:val="TableContents"/>
              <w:bidi w:val="0"/>
              <w:spacing w:before="0" w:after="283"/>
              <w:jc w:val="right"/>
              <w:rPr/>
            </w:pPr>
            <w:r>
              <w:rPr/>
              <w:t> </w:t>
            </w:r>
          </w:p>
        </w:tc>
        <w:tc>
          <w:tcPr>
            <w:tcW w:w="1012" w:type="dxa"/>
            <w:tcBorders/>
            <w:vAlign w:val="center"/>
          </w:tcPr>
          <w:p>
            <w:pPr>
              <w:pStyle w:val="TableContents"/>
              <w:bidi w:val="0"/>
              <w:spacing w:before="0" w:after="283"/>
              <w:jc w:val="right"/>
              <w:rPr/>
            </w:pPr>
            <w:r>
              <w:rPr/>
              <w:t>(179,373</w:t>
            </w:r>
          </w:p>
        </w:tc>
        <w:tc>
          <w:tcPr>
            <w:tcW w:w="190" w:type="dxa"/>
            <w:tcBorders/>
            <w:vAlign w:val="center"/>
          </w:tcPr>
          <w:p>
            <w:pPr>
              <w:pStyle w:val="TableContents"/>
              <w:bidi w:val="0"/>
              <w:spacing w:before="0" w:after="283"/>
              <w:jc w:val="left"/>
              <w:rPr/>
            </w:pPr>
            <w:r>
              <w:rPr/>
              <w:t>)</w:t>
            </w:r>
          </w:p>
        </w:tc>
        <w:tc>
          <w:tcPr>
            <w:tcW w:w="153"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w:t>
            </w:r>
          </w:p>
        </w:tc>
        <w:tc>
          <w:tcPr>
            <w:tcW w:w="19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6661" w:type="dxa"/>
            <w:tcBorders/>
            <w:vAlign w:val="center"/>
          </w:tcPr>
          <w:p>
            <w:pPr>
              <w:pStyle w:val="TableContents"/>
              <w:bidi w:val="0"/>
              <w:spacing w:before="0" w:after="283"/>
              <w:jc w:val="left"/>
              <w:rPr/>
            </w:pPr>
            <w:r>
              <w:rPr/>
              <w:t>Change in deferred license revenue</w:t>
            </w:r>
          </w:p>
        </w:tc>
        <w:tc>
          <w:tcPr>
            <w:tcW w:w="238" w:type="dxa"/>
            <w:tcBorders/>
            <w:vAlign w:val="center"/>
          </w:tcPr>
          <w:p>
            <w:pPr>
              <w:pStyle w:val="TableContents"/>
              <w:bidi w:val="0"/>
              <w:spacing w:before="0" w:after="283"/>
              <w:jc w:val="right"/>
              <w:rPr/>
            </w:pPr>
            <w:r>
              <w:rPr/>
              <w:t> </w:t>
            </w:r>
          </w:p>
        </w:tc>
        <w:tc>
          <w:tcPr>
            <w:tcW w:w="1012" w:type="dxa"/>
            <w:tcBorders/>
            <w:vAlign w:val="center"/>
          </w:tcPr>
          <w:p>
            <w:pPr>
              <w:pStyle w:val="TableContents"/>
              <w:bidi w:val="0"/>
              <w:spacing w:before="0" w:after="283"/>
              <w:jc w:val="right"/>
              <w:rPr/>
            </w:pPr>
            <w:r>
              <w:rPr/>
              <w:t>—</w:t>
            </w:r>
          </w:p>
        </w:tc>
        <w:tc>
          <w:tcPr>
            <w:tcW w:w="19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(10,434</w:t>
            </w:r>
          </w:p>
        </w:tc>
        <w:tc>
          <w:tcPr>
            <w:tcW w:w="190" w:type="dxa"/>
            <w:tcBorders/>
            <w:vAlign w:val="center"/>
          </w:tcPr>
          <w:p>
            <w:pPr>
              <w:pStyle w:val="TableContents"/>
              <w:bidi w:val="0"/>
              <w:spacing w:before="0" w:after="283"/>
              <w:jc w:val="left"/>
              <w:rPr/>
            </w:pPr>
            <w:r>
              <w:rPr/>
              <w:t>)</w:t>
            </w:r>
          </w:p>
        </w:tc>
        <w:tc>
          <w:tcPr>
            <w:tcW w:w="191" w:type="dxa"/>
            <w:tcBorders/>
            <w:vAlign w:val="center"/>
          </w:tcPr>
          <w:p>
            <w:pPr>
              <w:pStyle w:val="TableContents"/>
              <w:bidi w:val="0"/>
              <w:spacing w:before="0" w:after="283"/>
              <w:jc w:val="left"/>
              <w:rPr/>
            </w:pPr>
            <w:r>
              <w:rPr/>
              <w:t> </w:t>
            </w:r>
          </w:p>
        </w:tc>
      </w:tr>
      <w:tr>
        <w:trPr/>
        <w:tc>
          <w:tcPr>
            <w:tcW w:w="6661" w:type="dxa"/>
            <w:tcBorders/>
            <w:vAlign w:val="center"/>
          </w:tcPr>
          <w:p>
            <w:pPr>
              <w:pStyle w:val="TableContents"/>
              <w:bidi w:val="0"/>
              <w:spacing w:before="0" w:after="283"/>
              <w:jc w:val="left"/>
              <w:rPr/>
            </w:pPr>
            <w:r>
              <w:rPr/>
              <w:t>Other changes in working capital</w:t>
            </w:r>
          </w:p>
        </w:tc>
        <w:tc>
          <w:tcPr>
            <w:tcW w:w="23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1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(1,729</w:t>
            </w:r>
          </w:p>
        </w:tc>
        <w:tc>
          <w:tcPr>
            <w:tcW w:w="19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53" w:type="dxa"/>
            <w:tcBorders/>
            <w:vAlign w:val="center"/>
          </w:tcPr>
          <w:p>
            <w:pPr>
              <w:pStyle w:val="TableContents"/>
              <w:bidi w:val="0"/>
              <w:spacing w:before="0" w:after="283"/>
              <w:jc w:val="left"/>
              <w:rPr/>
            </w:pPr>
            <w:r>
              <w:rPr/>
              <w:t> </w:t>
            </w:r>
          </w:p>
        </w:tc>
        <w:tc>
          <w:tcPr>
            <w:tcW w:w="23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(2,537</w:t>
            </w:r>
          </w:p>
        </w:tc>
        <w:tc>
          <w:tcPr>
            <w:tcW w:w="19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91" w:type="dxa"/>
            <w:tcBorders/>
            <w:vAlign w:val="center"/>
          </w:tcPr>
          <w:p>
            <w:pPr>
              <w:pStyle w:val="TableContents"/>
              <w:bidi w:val="0"/>
              <w:spacing w:before="0" w:after="283"/>
              <w:jc w:val="left"/>
              <w:rPr/>
            </w:pPr>
            <w:r>
              <w:rPr/>
              <w:t> </w:t>
            </w:r>
          </w:p>
        </w:tc>
      </w:tr>
      <w:tr>
        <w:trPr/>
        <w:tc>
          <w:tcPr>
            <w:tcW w:w="6661" w:type="dxa"/>
            <w:tcBorders/>
            <w:tcMar>
              <w:top w:w="0" w:type="dxa"/>
              <w:left w:w="0" w:type="dxa"/>
              <w:bottom w:w="0" w:type="dxa"/>
              <w:right w:w="0" w:type="dxa"/>
            </w:tcMar>
            <w:vAlign w:val="center"/>
          </w:tcPr>
          <w:p>
            <w:pPr>
              <w:pStyle w:val="TableContents"/>
              <w:bidi w:val="0"/>
              <w:spacing w:before="0" w:after="283"/>
              <w:jc w:val="left"/>
              <w:rPr/>
            </w:pPr>
            <w:r>
              <w:rPr>
                <w:rStyle w:val="StrongEmphasis"/>
              </w:rPr>
              <w:t>Net cash used in operating activities</w:t>
            </w:r>
          </w:p>
        </w:tc>
        <w:tc>
          <w:tcPr>
            <w:tcW w:w="238"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012"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(14,128</w:t>
            </w:r>
          </w:p>
        </w:tc>
        <w:tc>
          <w:tcPr>
            <w:tcW w:w="190"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w:t>
            </w:r>
          </w:p>
        </w:tc>
        <w:tc>
          <w:tcPr>
            <w:tcW w:w="153" w:type="dxa"/>
            <w:tcBorders/>
            <w:vAlign w:val="center"/>
          </w:tcPr>
          <w:p>
            <w:pPr>
              <w:pStyle w:val="TableContents"/>
              <w:bidi w:val="0"/>
              <w:spacing w:before="0" w:after="283"/>
              <w:jc w:val="left"/>
              <w:rPr/>
            </w:pPr>
            <w:r>
              <w:rPr/>
              <w:t> </w:t>
            </w:r>
          </w:p>
        </w:tc>
        <w:tc>
          <w:tcPr>
            <w:tcW w:w="238"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88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(29,140</w:t>
            </w:r>
          </w:p>
        </w:tc>
        <w:tc>
          <w:tcPr>
            <w:tcW w:w="190"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w:t>
            </w:r>
          </w:p>
        </w:tc>
        <w:tc>
          <w:tcPr>
            <w:tcW w:w="191" w:type="dxa"/>
            <w:tcBorders/>
            <w:vAlign w:val="center"/>
          </w:tcPr>
          <w:p>
            <w:pPr>
              <w:pStyle w:val="TableContents"/>
              <w:bidi w:val="0"/>
              <w:spacing w:before="0" w:after="283"/>
              <w:jc w:val="left"/>
              <w:rPr/>
            </w:pPr>
            <w:r>
              <w:rPr/>
              <w:t> </w:t>
            </w:r>
          </w:p>
        </w:tc>
      </w:tr>
      <w:tr>
        <w:trPr/>
        <w:tc>
          <w:tcPr>
            <w:tcW w:w="6661" w:type="dxa"/>
            <w:tcBorders/>
            <w:tcMar>
              <w:top w:w="0" w:type="dxa"/>
              <w:left w:w="0" w:type="dxa"/>
              <w:bottom w:w="0" w:type="dxa"/>
              <w:right w:w="0" w:type="dxa"/>
            </w:tcMar>
            <w:vAlign w:val="center"/>
          </w:tcPr>
          <w:p>
            <w:pPr>
              <w:pStyle w:val="TableContents"/>
              <w:bidi w:val="0"/>
              <w:spacing w:before="0" w:after="283"/>
              <w:jc w:val="left"/>
              <w:rPr/>
            </w:pPr>
            <w:r>
              <w:rPr>
                <w:rStyle w:val="StrongEmphasis"/>
              </w:rPr>
              <w:t>Net cash provided by investing activities</w:t>
            </w:r>
          </w:p>
        </w:tc>
        <w:tc>
          <w:tcPr>
            <w:tcW w:w="238" w:type="dxa"/>
            <w:tcBorders/>
            <w:vAlign w:val="center"/>
          </w:tcPr>
          <w:p>
            <w:pPr>
              <w:pStyle w:val="TableContents"/>
              <w:bidi w:val="0"/>
              <w:spacing w:before="0" w:after="283"/>
              <w:jc w:val="right"/>
              <w:rPr/>
            </w:pPr>
            <w:r>
              <w:rPr/>
              <w:t> </w:t>
            </w:r>
          </w:p>
        </w:tc>
        <w:tc>
          <w:tcPr>
            <w:tcW w:w="1012" w:type="dxa"/>
            <w:tcBorders/>
            <w:vAlign w:val="center"/>
          </w:tcPr>
          <w:p>
            <w:pPr>
              <w:pStyle w:val="TableContents"/>
              <w:bidi w:val="0"/>
              <w:spacing w:before="0" w:after="283"/>
              <w:jc w:val="right"/>
              <w:rPr/>
            </w:pPr>
            <w:r>
              <w:rPr/>
              <w:t>538</w:t>
            </w:r>
          </w:p>
        </w:tc>
        <w:tc>
          <w:tcPr>
            <w:tcW w:w="19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26,960</w:t>
            </w:r>
          </w:p>
        </w:tc>
        <w:tc>
          <w:tcPr>
            <w:tcW w:w="19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6661" w:type="dxa"/>
            <w:tcBorders/>
            <w:tcMar>
              <w:top w:w="0" w:type="dxa"/>
              <w:left w:w="0" w:type="dxa"/>
              <w:bottom w:w="0" w:type="dxa"/>
              <w:right w:w="0" w:type="dxa"/>
            </w:tcMar>
            <w:vAlign w:val="center"/>
          </w:tcPr>
          <w:p>
            <w:pPr>
              <w:pStyle w:val="TableContents"/>
              <w:bidi w:val="0"/>
              <w:spacing w:before="0" w:after="283"/>
              <w:jc w:val="left"/>
              <w:rPr/>
            </w:pPr>
            <w:r>
              <w:rPr>
                <w:rStyle w:val="StrongEmphasis"/>
              </w:rPr>
              <w:t>Net cash provided by financing activities</w:t>
            </w:r>
          </w:p>
        </w:tc>
        <w:tc>
          <w:tcPr>
            <w:tcW w:w="238" w:type="dxa"/>
            <w:tcBorders/>
            <w:vAlign w:val="center"/>
          </w:tcPr>
          <w:p>
            <w:pPr>
              <w:pStyle w:val="TableContents"/>
              <w:bidi w:val="0"/>
              <w:spacing w:before="0" w:after="283"/>
              <w:jc w:val="right"/>
              <w:rPr/>
            </w:pPr>
            <w:r>
              <w:rPr/>
              <w:t> </w:t>
            </w:r>
          </w:p>
        </w:tc>
        <w:tc>
          <w:tcPr>
            <w:tcW w:w="1012" w:type="dxa"/>
            <w:tcBorders/>
            <w:vAlign w:val="center"/>
          </w:tcPr>
          <w:p>
            <w:pPr>
              <w:pStyle w:val="TableContents"/>
              <w:bidi w:val="0"/>
              <w:spacing w:before="0" w:after="283"/>
              <w:jc w:val="right"/>
              <w:rPr/>
            </w:pPr>
            <w:r>
              <w:rPr/>
              <w:t>14,767</w:t>
            </w:r>
          </w:p>
        </w:tc>
        <w:tc>
          <w:tcPr>
            <w:tcW w:w="19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3,237</w:t>
            </w:r>
          </w:p>
        </w:tc>
        <w:tc>
          <w:tcPr>
            <w:tcW w:w="19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6661" w:type="dxa"/>
            <w:tcBorders/>
            <w:vAlign w:val="center"/>
          </w:tcPr>
          <w:p>
            <w:pPr>
              <w:pStyle w:val="TableContents"/>
              <w:bidi w:val="0"/>
              <w:spacing w:before="0" w:after="283"/>
              <w:jc w:val="left"/>
              <w:rPr/>
            </w:pPr>
            <w:r>
              <w:rPr/>
              <w:t>Effect of foreign exchange rate changes on cash and cash equivalents</w:t>
            </w:r>
          </w:p>
        </w:tc>
        <w:tc>
          <w:tcPr>
            <w:tcW w:w="23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1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(14</w:t>
            </w:r>
          </w:p>
        </w:tc>
        <w:tc>
          <w:tcPr>
            <w:tcW w:w="19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53" w:type="dxa"/>
            <w:tcBorders/>
            <w:vAlign w:val="center"/>
          </w:tcPr>
          <w:p>
            <w:pPr>
              <w:pStyle w:val="TableContents"/>
              <w:bidi w:val="0"/>
              <w:spacing w:before="0" w:after="283"/>
              <w:jc w:val="left"/>
              <w:rPr/>
            </w:pPr>
            <w:r>
              <w:rPr/>
              <w:t> </w:t>
            </w:r>
          </w:p>
        </w:tc>
        <w:tc>
          <w:tcPr>
            <w:tcW w:w="23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25</w:t>
            </w:r>
          </w:p>
        </w:tc>
        <w:tc>
          <w:tcPr>
            <w:tcW w:w="19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6661" w:type="dxa"/>
            <w:tcBorders/>
            <w:tcMar>
              <w:top w:w="0" w:type="dxa"/>
              <w:left w:w="0" w:type="dxa"/>
              <w:bottom w:w="0" w:type="dxa"/>
              <w:right w:w="0" w:type="dxa"/>
            </w:tcMar>
            <w:vAlign w:val="center"/>
          </w:tcPr>
          <w:p>
            <w:pPr>
              <w:pStyle w:val="TableContents"/>
              <w:bidi w:val="0"/>
              <w:spacing w:before="0" w:after="283"/>
              <w:jc w:val="left"/>
              <w:rPr/>
            </w:pPr>
            <w:r>
              <w:rPr>
                <w:rStyle w:val="StrongEmphasis"/>
              </w:rPr>
              <w:t>Increase in cash and cash equivalents</w:t>
            </w:r>
          </w:p>
        </w:tc>
        <w:tc>
          <w:tcPr>
            <w:tcW w:w="238"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012"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1,163</w:t>
            </w:r>
          </w:p>
        </w:tc>
        <w:tc>
          <w:tcPr>
            <w:tcW w:w="190"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238"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88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1,082</w:t>
            </w:r>
          </w:p>
        </w:tc>
        <w:tc>
          <w:tcPr>
            <w:tcW w:w="190"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6661" w:type="dxa"/>
            <w:tcBorders/>
            <w:vAlign w:val="center"/>
          </w:tcPr>
          <w:p>
            <w:pPr>
              <w:pStyle w:val="TableContents"/>
              <w:bidi w:val="0"/>
              <w:spacing w:before="0" w:after="283"/>
              <w:jc w:val="left"/>
              <w:rPr/>
            </w:pPr>
            <w:r>
              <w:rPr/>
              <w:t>Cash and cash equivalents, beginning of period</w:t>
            </w:r>
          </w:p>
        </w:tc>
        <w:tc>
          <w:tcPr>
            <w:tcW w:w="23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1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18,008</w:t>
            </w:r>
          </w:p>
        </w:tc>
        <w:tc>
          <w:tcPr>
            <w:tcW w:w="19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23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36,330</w:t>
            </w:r>
          </w:p>
        </w:tc>
        <w:tc>
          <w:tcPr>
            <w:tcW w:w="19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6661" w:type="dxa"/>
            <w:tcBorders/>
            <w:tcMar>
              <w:top w:w="0" w:type="dxa"/>
              <w:left w:w="0" w:type="dxa"/>
              <w:bottom w:w="0" w:type="dxa"/>
              <w:right w:w="0" w:type="dxa"/>
            </w:tcMar>
            <w:vAlign w:val="center"/>
          </w:tcPr>
          <w:p>
            <w:pPr>
              <w:pStyle w:val="TableContents"/>
              <w:bidi w:val="0"/>
              <w:spacing w:before="0" w:after="283"/>
              <w:jc w:val="left"/>
              <w:rPr/>
            </w:pPr>
            <w:r>
              <w:rPr>
                <w:rStyle w:val="StrongEmphasis"/>
              </w:rPr>
              <w:t>Cash and cash equivalents, end of period</w:t>
            </w:r>
          </w:p>
        </w:tc>
        <w:tc>
          <w:tcPr>
            <w:tcW w:w="238"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012"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19,171</w:t>
            </w:r>
          </w:p>
        </w:tc>
        <w:tc>
          <w:tcPr>
            <w:tcW w:w="190"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238"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88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37,412</w:t>
            </w:r>
          </w:p>
        </w:tc>
        <w:tc>
          <w:tcPr>
            <w:tcW w:w="190"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6661" w:type="dxa"/>
            <w:tcBorders/>
            <w:vAlign w:val="center"/>
          </w:tcPr>
          <w:p>
            <w:pPr>
              <w:pStyle w:val="TableContents"/>
              <w:bidi w:val="0"/>
              <w:spacing w:before="0" w:after="283"/>
              <w:jc w:val="left"/>
              <w:rPr/>
            </w:pPr>
            <w:r>
              <w:rPr/>
              <w:t>Investments in marketable securities</w:t>
            </w:r>
          </w:p>
        </w:tc>
        <w:tc>
          <w:tcPr>
            <w:tcW w:w="23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1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73,454</w:t>
            </w:r>
          </w:p>
        </w:tc>
        <w:tc>
          <w:tcPr>
            <w:tcW w:w="19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23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60,676</w:t>
            </w:r>
          </w:p>
        </w:tc>
        <w:tc>
          <w:tcPr>
            <w:tcW w:w="19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6661" w:type="dxa"/>
            <w:tcBorders/>
            <w:tcMar>
              <w:top w:w="0" w:type="dxa"/>
              <w:left w:w="0" w:type="dxa"/>
              <w:bottom w:w="0" w:type="dxa"/>
              <w:right w:w="0" w:type="dxa"/>
            </w:tcMar>
            <w:vAlign w:val="center"/>
          </w:tcPr>
          <w:p>
            <w:pPr>
              <w:pStyle w:val="TableContents"/>
              <w:bidi w:val="0"/>
              <w:spacing w:before="0" w:after="283"/>
              <w:jc w:val="left"/>
              <w:rPr/>
            </w:pPr>
            <w:r>
              <w:rPr>
                <w:rStyle w:val="StrongEmphasis"/>
              </w:rPr>
              <w:t>Cash, cash equivalents and marketable securities, end of</w:t>
              <w:br/>
              <w:t>period</w:t>
            </w:r>
          </w:p>
        </w:tc>
        <w:tc>
          <w:tcPr>
            <w:tcW w:w="23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01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92,625</w:t>
            </w:r>
          </w:p>
        </w:tc>
        <w:tc>
          <w:tcPr>
            <w:tcW w:w="190"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23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88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98,088</w:t>
            </w:r>
          </w:p>
        </w:tc>
        <w:tc>
          <w:tcPr>
            <w:tcW w:w="190"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9759" w:type="dxa"/>
            <w:gridSpan w:val="9"/>
            <w:tcBorders/>
            <w:vAlign w:val="center"/>
          </w:tcPr>
          <w:p>
            <w:pPr>
              <w:pStyle w:val="TableContents"/>
              <w:bidi w:val="0"/>
              <w:spacing w:before="0" w:after="283"/>
              <w:jc w:val="left"/>
              <w:rPr/>
            </w:pPr>
            <w:r>
              <w:rPr/>
              <w:t> </w:t>
            </w:r>
          </w:p>
        </w:tc>
      </w:tr>
    </w:tbl>
    <w:p>
      <w:pPr>
        <w:pStyle w:val="TextBody"/>
        <w:bidi w:val="0"/>
        <w:jc w:val="both"/>
        <w:rPr/>
      </w:pPr>
      <w:r>
        <w:rPr>
          <w:rStyle w:val="StrongEmphasis"/>
          <w:u w:val="single"/>
        </w:rPr>
        <w:t>About Imdusiran (AB-729)</w:t>
      </w:r>
    </w:p>
    <w:p>
      <w:pPr>
        <w:pStyle w:val="TextBody"/>
        <w:bidi w:val="0"/>
        <w:jc w:val="both"/>
        <w:rPr/>
      </w:pPr>
      <w:r>
        <w:rPr/>
        <w:t xml:space="preserve">Imdusiran is an RNAi therapeutic specifically designed to reduce all hepatitis B viral proteins and antigens, including hepatitis B surface antigen (“HBsAg”), which is thought to be a key prerequisite to enable reawakening of a patient’s immune system to control the virus. Imdusiran targets hepatocytes using Arbutus’ novel covalently conjugated </w:t>
      </w:r>
      <w:r>
        <w:rPr>
          <w:rStyle w:val="Emphasis"/>
        </w:rPr>
        <w:t>N</w:t>
      </w:r>
      <w:r>
        <w:rPr/>
        <w:t>-Acetylgalactosamine delivery technology enabling subcutaneous delivery. In Arbutus’ Phase 2a clinical trials, eight patients with cHBV achieved functional cure following treatment with imdusiran and nucleos(t)ide analogue (“NA”) therapy in combination with either pegylated interferon alfa-2a or low dose nivolumab plus an immunotherapeutic, with six out of the eight patients continuing to sustain functional cure for over two years. An additional 41 patients across the Company’s Phase 2a clinical trials were able to remain off NA therapy for at least 48 weeks during their Phase 2a clinical trials following treatment with imdusiran. Two additional patients who discontinued NA therapy in their Phase 2a clinical trials have now achieved functional cure during their participation in long-term follow-up. Functional cure is defined as sustained HBsAg seroclearance and hepatitis B virus deoxyribonucleic acid (“HBV DNA”) less than the lower limit of quantification after 24 weeks off treatment, with or without anti-hepatitis B surface antibodies. Clinical data generated thus far has shown imdusiran to be generally safe and well-tolerated, while also providing meaningful reductions in HBsAg and HBV DNA.</w:t>
      </w:r>
    </w:p>
    <w:p>
      <w:pPr>
        <w:pStyle w:val="TextBody"/>
        <w:bidi w:val="0"/>
        <w:jc w:val="both"/>
        <w:rPr/>
      </w:pPr>
      <w:r>
        <w:rPr>
          <w:rStyle w:val="StrongEmphasis"/>
          <w:u w:val="single"/>
        </w:rPr>
        <w:t>About HBV</w:t>
      </w:r>
    </w:p>
    <w:p>
      <w:pPr>
        <w:pStyle w:val="TextBody"/>
        <w:bidi w:val="0"/>
        <w:jc w:val="both"/>
        <w:rPr/>
      </w:pPr>
      <w:r>
        <w:rPr/>
        <w:t>Hepatitis B is a potentially life-threatening liver infection caused by hepatitis B virus (“HBV”). HBV can cause chronic infection which leads to a higher risk of death from cirrhosis and liver cancer. cHBV infection represents a significant unmet medical need. The World Health Organization estimates that over 250 million people worldwide suffer from cHBV infection, while other estimates indicate that approximately 2 million people in the United States suffer from cHBV infection. Approximately 1.1 million people die every year from complications related to cHBV infection despite the availability of effective vaccines and current treatment options.</w:t>
      </w:r>
    </w:p>
    <w:p>
      <w:pPr>
        <w:pStyle w:val="TextBody"/>
        <w:bidi w:val="0"/>
        <w:jc w:val="both"/>
        <w:rPr/>
      </w:pPr>
      <w:r>
        <w:rPr>
          <w:rStyle w:val="StrongEmphasis"/>
          <w:u w:val="single"/>
        </w:rPr>
        <w:t>About Arbutus</w:t>
      </w:r>
    </w:p>
    <w:p>
      <w:pPr>
        <w:pStyle w:val="TextBody"/>
        <w:bidi w:val="0"/>
        <w:jc w:val="both"/>
        <w:rPr/>
      </w:pPr>
      <w:r>
        <w:rPr/>
        <w:t>Arbutus Biopharma Corporation (Nasdaq: ABUS) is a clinical-stage biopharmaceutical company focused on infectious disease. The Company is currently developing imdusiran (AB-729) and an oral PD-L1 inhibitor (AB-101) for the treatment of cHBV infection. The Company is also consulting closely with and supporting its exclusive licensee, Genevant, to protect and defend its intellectual property, which is the subject of on-going lawsuits against Pfizer/BioNTech for use of Arbutus’ patented LNP technology in their COVID-19 vaccines. For more information, visit www.arbutusbio.com.</w:t>
      </w:r>
    </w:p>
    <w:p>
      <w:pPr>
        <w:pStyle w:val="TextBody"/>
        <w:bidi w:val="0"/>
        <w:jc w:val="both"/>
        <w:rPr/>
      </w:pPr>
      <w:r>
        <w:rPr>
          <w:rStyle w:val="StrongEmphasis"/>
          <w:u w:val="single"/>
        </w:rPr>
        <w:t>Forward-Looking Statements and Information</w:t>
      </w:r>
    </w:p>
    <w:p>
      <w:pPr>
        <w:pStyle w:val="TextBody"/>
        <w:bidi w:val="0"/>
        <w:jc w:val="both"/>
        <w:rPr/>
      </w:pPr>
      <w:r>
        <w:rPr/>
        <w:t>This press release contains forward-looking statements within the meaning of the Section 27A of the Securities Act of 1933 and Section 21E of the Securities Exchange Act of 1934, and forward-looking information within the meaning of Canadian securities laws (collectively, forward-looking statements). Forward-looking statements in this press release include statements about: the Company’s expectation to return capital to shareholders, including the expected form and timing thereof; the Company’s receipt of a dividend from Genevant, and the timing thereof; the potential to lead to a functional cure for HBV and/or the discontinuation of HBV therapies after treatment with Arbutus’ product candidates; the durability of clinical benefits from Arbutus’ product candidates; the potential for Arbutus’ product candidates to achieve success in clinical trials; the potential for regulatory approval of Arbutus’ product candidates, Arbutus’ pipeline and development plans for its cHBV programs; and Arbutus’ plans with respect to ongoing patent litigation matters, including the expected timing thereof.</w:t>
      </w:r>
    </w:p>
    <w:p>
      <w:pPr>
        <w:pStyle w:val="TextBody"/>
        <w:bidi w:val="0"/>
        <w:jc w:val="both"/>
        <w:rPr/>
      </w:pPr>
      <w:r>
        <w:rPr/>
        <w:t>With respect to the forward-looking statements contained in this press release, Arbutus has made numerous assumptions regarding, among other things: the effectiveness and timeliness of clinical trials, and the usefulness of the data; the continued demand for Arbutus’ assets; and the stability of economic and market conditions. While Arbutus considers these assumptions to be reasonable, these assumptions are inherently subject to significant business, economic, competitive, market and social uncertainties and contingencies. Additionally, there are known and unknown risk factors which could cause Arbutus’ actual results, performance or achievements to be materially different from any future results, performance or achievements expressed or implied by the forward-looking statements contained herein. Known risk factors include, among others: the risk that the Company may not receive the expected dividend from Genevant on the terms or within the time expected; the Company may determine not to proceed with a return of capital to shareholders for any reason; ongoing and anticipated clinical trials may be more costly or take longer to complete than anticipated, and may never be initiated or completed, or may not generate results that warrant future development of the tested product candidate; Arbutus may elect to change its strategy regarding its product candidates and clinical development activities; Arbutus may not receive the necessary regulatory approvals for the clinical development of Arbutus’ product candidates; uncertainties associated with litigation generally and patent litigation specifically; economic and market conditions may worsen; market shifts may require a change in strategic focus; and risks related to the sufficiency of Arbutus’ cash resources for its foreseeable and unforeseeable operating expenses and capital expenditures.</w:t>
      </w:r>
    </w:p>
    <w:p>
      <w:pPr>
        <w:pStyle w:val="TextBody"/>
        <w:bidi w:val="0"/>
        <w:jc w:val="both"/>
        <w:rPr/>
      </w:pPr>
      <w:r>
        <w:rPr/>
        <w:t>A more complete discussion of the risks and uncertainties facing Arbutus appears in Arbutus’ Annual Report on Form 10-K, Arbutus’ Quarterly Reports on Form 10-Q and Arbutus’ continuous and periodic disclosure filings, which are available at www.sedarplus.ca and at www.sec.gov. All forward-looking statements herein are qualified in their entirety by this cautionary statement, and Arbutus disclaims any obligation to revise or update any such forward-looking statements or to publicly announce the result of any revisions to any of the forward-looking statements contained herein to reflect future results, events or developments, except as required by law.</w:t>
      </w:r>
    </w:p>
    <w:p>
      <w:pPr>
        <w:pStyle w:val="TextBody"/>
        <w:bidi w:val="0"/>
        <w:spacing w:before="0" w:after="283"/>
        <w:jc w:val="left"/>
        <w:rPr/>
      </w:pPr>
      <w:r>
        <w:rPr/>
        <w:t>Arbutus Biopharma Corporation / ir@arbutusbio.com</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Bullets">
    <w:name w:val="Bullets"/>
    <w:qFormat/>
    <w:rPr>
      <w:rFonts w:ascii="OpenSymbol" w:hAnsi="OpenSymbol" w:eastAsia="OpenSymbol" w:cs="OpenSymbol"/>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2713</Words>
  <Characters>15589</Characters>
  <CharactersWithSpaces>18338</CharactersWithSpaces>
  <Paragraphs>615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