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As filed with the Securities and Exchange Commission on June 5, 2026</w:t>
      </w:r>
    </w:p>
    <w:p>
      <w:pPr>
        <w:pStyle w:val="TextBody"/>
        <w:bidi w:val="0"/>
        <w:spacing w:lineRule="auto" w:line="288" w:before="0" w:after="140"/>
        <w:jc w:val="right"/>
        <w:rPr>
          <w:rFonts w:ascii="Times New Roman;serif" w:hAnsi="Times New Roman;serif"/>
          <w:b/>
          <w:color w:val="000000"/>
          <w:sz w:val="20"/>
        </w:rPr>
      </w:pPr>
      <w:r>
        <w:rPr>
          <w:rFonts w:ascii="Times New Roman;serif" w:hAnsi="Times New Roman;serif"/>
          <w:b/>
          <w:color w:val="000000"/>
          <w:sz w:val="20"/>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4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360" w:after="283"/>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REGISTRATION STATEMENT</w:t>
      </w:r>
    </w:p>
    <w:p>
      <w:pPr>
        <w:pStyle w:val="TextBody"/>
        <w:bidi w:val="0"/>
        <w:spacing w:lineRule="auto" w:line="333"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THE SECURITIES ACT OF 1933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380" w:after="283"/>
        <w:jc w:val="center"/>
        <w:rPr>
          <w:rFonts w:ascii="Times New Roman;serif" w:hAnsi="Times New Roman;serif"/>
          <w:b/>
          <w:color w:val="000000"/>
          <w:sz w:val="48"/>
        </w:rPr>
      </w:pPr>
      <w:r>
        <w:rPr>
          <w:rFonts w:ascii="Times New Roman;serif" w:hAnsi="Times New Roman;serif"/>
          <w:b/>
          <w:color w:val="000000"/>
          <w:sz w:val="48"/>
        </w:rPr>
        <w:t>Arbutus Biopharma Corporation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498" w:type="dxa"/>
        <w:jc w:val="center"/>
        <w:tblInd w:w="0" w:type="dxa"/>
        <w:tblLayout w:type="fixed"/>
        <w:tblCellMar>
          <w:top w:w="28" w:type="dxa"/>
          <w:left w:w="28" w:type="dxa"/>
          <w:bottom w:w="28" w:type="dxa"/>
          <w:right w:w="28" w:type="dxa"/>
        </w:tblCellMar>
      </w:tblPr>
      <w:tblGrid>
        <w:gridCol w:w="1092"/>
        <w:gridCol w:w="958"/>
        <w:gridCol w:w="964"/>
        <w:gridCol w:w="433"/>
        <w:gridCol w:w="433"/>
        <w:gridCol w:w="618"/>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British Columbia, Canada</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98-0597776</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4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4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701 Veterans Circle</w:t>
            </w:r>
          </w:p>
          <w:p>
            <w:pPr>
              <w:pStyle w:val="TableContents"/>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Warminster, Pennsylvania</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18974</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333" w:before="300" w:after="283"/>
        <w:jc w:val="center"/>
        <w:rPr>
          <w:rFonts w:ascii="Times New Roman;serif" w:hAnsi="Times New Roman;serif"/>
          <w:b/>
          <w:color w:val="000000"/>
          <w:sz w:val="20"/>
        </w:rPr>
      </w:pPr>
      <w:r>
        <w:rPr>
          <w:rFonts w:ascii="Times New Roman;serif" w:hAnsi="Times New Roman;serif"/>
          <w:b/>
          <w:color w:val="000000"/>
          <w:sz w:val="20"/>
        </w:rPr>
        <w:t>Arbutus Biopharma Corporation 2026 Omnibus Share and Incentive Plan</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(Full title of the plan)</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Tuan Nguyen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Arbutus Biopharma Corporation</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701 Veterans Circle</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Warminster, Pennsylvania 18974</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(Name and address of agent for service)</w:t>
      </w:r>
    </w:p>
    <w:p>
      <w:pPr>
        <w:pStyle w:val="TextBody"/>
        <w:bidi w:val="0"/>
        <w:spacing w:lineRule="auto" w:line="333" w:before="240" w:after="283"/>
        <w:jc w:val="center"/>
        <w:rPr>
          <w:rFonts w:ascii="Times New Roman;serif" w:hAnsi="Times New Roman;serif"/>
          <w:b/>
          <w:color w:val="000000"/>
          <w:sz w:val="18"/>
        </w:rPr>
      </w:pPr>
      <w:r>
        <w:rPr>
          <w:rFonts w:ascii="Times New Roman;serif" w:hAnsi="Times New Roman;serif"/>
          <w:b/>
          <w:color w:val="000000"/>
          <w:sz w:val="18"/>
        </w:rPr>
        <w:t>(267) 469-0914</w:t>
      </w:r>
    </w:p>
    <w:p>
      <w:pPr>
        <w:pStyle w:val="TextBody"/>
        <w:bidi w:val="0"/>
        <w:spacing w:lineRule="auto" w:line="288" w:before="0" w:after="140"/>
        <w:jc w:val="center"/>
        <w:rPr>
          <w:rFonts w:ascii="Times New Roman;serif" w:hAnsi="Times New Roman;serif"/>
          <w:b/>
          <w:color w:val="000000"/>
          <w:sz w:val="16"/>
        </w:rPr>
      </w:pPr>
      <w:r>
        <w:rPr>
          <w:rFonts w:ascii="Times New Roman;serif" w:hAnsi="Times New Roman;serif"/>
          <w:b/>
          <w:color w:val="000000"/>
          <w:sz w:val="16"/>
        </w:rPr>
        <w:t>(Telephone number, including area code, of agent for service)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60"/>
        <w:jc w:val="center"/>
        <w:rPr>
          <w:rFonts w:ascii="Times New Roman;serif" w:hAnsi="Times New Roman;serif"/>
          <w:b/>
          <w:color w:val="000000"/>
          <w:sz w:val="16"/>
        </w:rPr>
      </w:pPr>
      <w:r>
        <w:rPr>
          <w:rFonts w:ascii="Times New Roman;serif" w:hAnsi="Times New Roman;serif"/>
          <w:b/>
          <w:color w:val="000000"/>
          <w:sz w:val="16"/>
        </w:rPr>
        <w:t>With Copies to:</w:t>
      </w:r>
    </w:p>
    <w:tbl>
      <w:tblPr>
        <w:tblW w:w="7378" w:type="dxa"/>
        <w:jc w:val="left"/>
        <w:tblInd w:w="0" w:type="dxa"/>
        <w:tblLayout w:type="fixed"/>
        <w:tblCellMar>
          <w:top w:w="28" w:type="dxa"/>
          <w:left w:w="28" w:type="dxa"/>
          <w:bottom w:w="28" w:type="dxa"/>
          <w:right w:w="28" w:type="dxa"/>
        </w:tblCellMar>
      </w:tblPr>
      <w:tblGrid>
        <w:gridCol w:w="880"/>
        <w:gridCol w:w="773"/>
        <w:gridCol w:w="777"/>
        <w:gridCol w:w="839"/>
        <w:gridCol w:w="839"/>
        <w:gridCol w:w="841"/>
        <w:gridCol w:w="710"/>
        <w:gridCol w:w="710"/>
        <w:gridCol w:w="1009"/>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Steven J. Abrams, Esq.</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Stephen M. Nicolai, Esq.</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Hogan Lovells US LLP</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1735 Market Street, 23rd Floor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Philadelphia, PA 19103</w:t>
            </w:r>
          </w:p>
          <w:p>
            <w:pPr>
              <w:pStyle w:val="TableContents"/>
              <w:bidi w:val="0"/>
              <w:spacing w:lineRule="auto" w:line="288" w:before="0" w:after="40"/>
              <w:jc w:val="center"/>
              <w:rPr>
                <w:rFonts w:ascii="Times New Roman;serif" w:hAnsi="Times New Roman;serif"/>
                <w:b/>
                <w:color w:val="000000"/>
                <w:sz w:val="16"/>
              </w:rPr>
            </w:pPr>
            <w:r>
              <w:rPr>
                <w:rFonts w:ascii="Times New Roman;serif" w:hAnsi="Times New Roman;serif"/>
                <w:b/>
                <w:color w:val="000000"/>
                <w:sz w:val="16"/>
              </w:rPr>
              <w:t>(267) 675-4600</w:t>
            </w:r>
          </w:p>
        </w:tc>
        <w:tc>
          <w:tcPr>
            <w:tcW w:w="2519"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Andrew Sung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General Counsel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Arbutus Biopharma Corporation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701 Veterans Circle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Warminster, Pennsylvania 18974</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(267) 469-0914</w:t>
            </w:r>
          </w:p>
          <w:p>
            <w:pPr>
              <w:pStyle w:val="TableContents"/>
              <w:bidi w:val="0"/>
              <w:spacing w:before="0" w:after="0"/>
              <w:jc w:val="left"/>
              <w:rPr/>
            </w:pPr>
            <w:r>
              <w:rPr/>
            </w:r>
          </w:p>
        </w:tc>
        <w:tc>
          <w:tcPr>
            <w:tcW w:w="2429" w:type="dxa"/>
            <w:gridSpan w:val="3"/>
            <w:tcBorders/>
            <w:tcMar>
              <w:top w:w="0" w:type="dxa"/>
              <w:left w:w="0" w:type="dxa"/>
              <w:bottom w:w="0" w:type="dxa"/>
              <w:right w:w="0" w:type="dxa"/>
            </w:tcMar>
            <w:vAlign w:val="center"/>
          </w:tcPr>
          <w:p>
            <w:pPr>
              <w:pStyle w:val="TableContents"/>
              <w:bidi w:val="0"/>
              <w:spacing w:lineRule="auto" w:line="333" w:before="40" w:after="283"/>
              <w:jc w:val="center"/>
              <w:rPr>
                <w:rFonts w:ascii="Times New Roman;serif" w:hAnsi="Times New Roman;serif"/>
                <w:b/>
                <w:color w:val="000000"/>
                <w:sz w:val="16"/>
              </w:rPr>
            </w:pPr>
            <w:r>
              <w:rPr>
                <w:rFonts w:ascii="Times New Roman;serif" w:hAnsi="Times New Roman;serif"/>
                <w:b/>
                <w:color w:val="000000"/>
                <w:sz w:val="16"/>
              </w:rPr>
              <w:t>R. Hector MacKay-Dunn, K.C.</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Farris LLP</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2500-700 West Georgia Street</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Vancouver, British Columbia</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Canada V7Y 1B3</w:t>
            </w:r>
          </w:p>
          <w:p>
            <w:pPr>
              <w:pStyle w:val="TableContents"/>
              <w:bidi w:val="0"/>
              <w:spacing w:lineRule="auto" w:line="333" w:before="0" w:after="40"/>
              <w:jc w:val="center"/>
              <w:rPr>
                <w:rFonts w:ascii="Times New Roman;serif" w:hAnsi="Times New Roman;serif"/>
                <w:b/>
                <w:color w:val="000000"/>
                <w:sz w:val="16"/>
              </w:rPr>
            </w:pPr>
            <w:r>
              <w:rPr>
                <w:rFonts w:ascii="Times New Roman;serif" w:hAnsi="Times New Roman;serif"/>
                <w:b/>
                <w:color w:val="000000"/>
                <w:sz w:val="16"/>
              </w:rPr>
              <w:t>(604) 684-9151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821" w:type="dxa"/>
        <w:jc w:val="left"/>
        <w:tblInd w:w="0" w:type="dxa"/>
        <w:tblLayout w:type="fixed"/>
        <w:tblCellMar>
          <w:top w:w="28" w:type="dxa"/>
          <w:left w:w="28" w:type="dxa"/>
          <w:bottom w:w="28" w:type="dxa"/>
          <w:right w:w="28" w:type="dxa"/>
        </w:tblCellMar>
      </w:tblPr>
      <w:tblGrid>
        <w:gridCol w:w="695"/>
        <w:gridCol w:w="611"/>
        <w:gridCol w:w="613"/>
        <w:gridCol w:w="479"/>
        <w:gridCol w:w="479"/>
        <w:gridCol w:w="481"/>
        <w:gridCol w:w="599"/>
        <w:gridCol w:w="599"/>
        <w:gridCol w:w="601"/>
        <w:gridCol w:w="769"/>
        <w:gridCol w:w="769"/>
        <w:gridCol w:w="772"/>
        <w:gridCol w:w="689"/>
        <w:gridCol w:w="689"/>
        <w:gridCol w:w="976"/>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r>
    </w:tbl>
    <w:p>
      <w:pPr>
        <w:pStyle w:val="TextBody"/>
        <w:bidi w:val="0"/>
        <w:spacing w:lineRule="auto" w:line="333" w:before="0" w:after="14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14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120"/>
        <w:jc w:val="left"/>
        <w:rPr/>
      </w:pPr>
      <w:r>
        <w:rPr/>
      </w:r>
    </w:p>
    <w:p>
      <w:pPr>
        <w:pStyle w:val="TextBody"/>
        <w:bidi w:val="0"/>
        <w:spacing w:before="6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on Form S-8 (this “Registration Statement”) is being filed by Arbutus Biopharma Corporation (the “Registrant”) to register 16,300,000 common shares of the Registrant, without par value (the “Common Shares”), reserved for issuance under the Arbutus Biopharma Corporation 2026 Omnibus Share and Incentive Plan (the “2026 Plan”). The Board of Directors of the Registrant approved the 2026 Plan on April 10, 2026, and the Registrant’s shareholders approved the 2026 Plan at the Registrant’s 2026 Annual General and Special Meeting of Shareholders on May 26,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permitted by the rules of the Securities and Exchange Commission (the “Commission”), the information specified in Part I of Form S-8 is omitted from this Registration Statement. The documents containing the information specified in Part I of Form S-8 will be delivered to the participants in the plan covered by this Registration Statement as required by Rule 428(b)(1) under the Securities Act of 1933, as amended (the “Securities Act”).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documents of the Registrant filed with the Commission are incorporated by reference in this Registration Statement as of their respective dates: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(a)the Registrant’s </w:t>
      </w:r>
      <w:hyperlink r:id="rId2">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December 31, 2025, filed with the Commission on March 23, 2026;</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(b)    the Registrant’s </w:t>
      </w:r>
      <w:hyperlink r:id="rId3">
        <w:r>
          <w:rPr>
            <w:rStyle w:val="InternetLink"/>
            <w:rFonts w:ascii="Times New Roman;serif" w:hAnsi="Times New Roman;serif"/>
            <w:b w:val="false"/>
            <w:color w:val="0000FF"/>
            <w:sz w:val="20"/>
            <w:u w:val="single"/>
          </w:rPr>
          <w:t>Quarterly Report on Form 10-Q</w:t>
        </w:r>
      </w:hyperlink>
      <w:r>
        <w:rPr>
          <w:color w:val="000000"/>
        </w:rPr>
        <w:t xml:space="preserve"> </w:t>
      </w:r>
      <w:r>
        <w:rPr>
          <w:rFonts w:ascii="Times New Roman;serif" w:hAnsi="Times New Roman;serif"/>
          <w:b w:val="false"/>
          <w:color w:val="000000"/>
          <w:sz w:val="20"/>
        </w:rPr>
        <w:t xml:space="preserve">for the quarterly period ended March 31, 2026, filed with the Commission on May 13, 2026; </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(c)    the Registrant’s </w:t>
      </w:r>
      <w:hyperlink r:id="rId4">
        <w:r>
          <w:rPr>
            <w:rStyle w:val="InternetLink"/>
            <w:rFonts w:ascii="Times New Roman;serif" w:hAnsi="Times New Roman;serif"/>
            <w:b w:val="false"/>
            <w:color w:val="0000FF"/>
            <w:sz w:val="20"/>
            <w:u w:val="single"/>
          </w:rPr>
          <w:t>Definitive Proxy Statement on Schedule 14A</w:t>
        </w:r>
      </w:hyperlink>
      <w:r>
        <w:rPr>
          <w:color w:val="000000"/>
        </w:rPr>
        <w:t xml:space="preserve"> </w:t>
      </w:r>
      <w:r>
        <w:rPr>
          <w:rFonts w:ascii="Times New Roman;serif" w:hAnsi="Times New Roman;serif"/>
          <w:b w:val="false"/>
          <w:color w:val="000000"/>
          <w:sz w:val="20"/>
        </w:rPr>
        <w:t>filed with the Commission on April 14, 2026, to the extent incorporated by reference into the Registrant’s Annual Report on Form 10-K for the fiscal year ended December 31, 2025;</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(d)    the Registrant’s Current Reports on Form 8-K (other than portions thereof furnished under Item 2.02 or Item 7.01 of Form 8-K and exhibits accompanying such reports that are related to such items) filed with the Commission on </w:t>
      </w:r>
      <w:hyperlink r:id="rId5">
        <w:r>
          <w:rPr>
            <w:rStyle w:val="InternetLink"/>
            <w:rFonts w:ascii="Times New Roman;serif" w:hAnsi="Times New Roman;serif"/>
            <w:b w:val="false"/>
            <w:color w:val="0000FF"/>
            <w:sz w:val="20"/>
            <w:u w:val="single"/>
          </w:rPr>
          <w:t>January 16, 2026</w:t>
        </w:r>
      </w:hyperlink>
      <w:r>
        <w:rPr>
          <w:rFonts w:ascii="Times New Roman;serif" w:hAnsi="Times New Roman;serif"/>
          <w:b w:val="false"/>
          <w:color w:val="000000"/>
          <w:sz w:val="20"/>
        </w:rPr>
        <w:t xml:space="preserve">, </w:t>
      </w:r>
      <w:hyperlink r:id="rId6">
        <w:r>
          <w:rPr>
            <w:rStyle w:val="InternetLink"/>
            <w:rFonts w:ascii="Times New Roman;serif" w:hAnsi="Times New Roman;serif"/>
            <w:b w:val="false"/>
            <w:color w:val="0000FF"/>
            <w:sz w:val="20"/>
            <w:u w:val="single"/>
          </w:rPr>
          <w:t>February 6, 2026</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February 20, 2026</w:t>
        </w:r>
      </w:hyperlink>
      <w:r>
        <w:rPr>
          <w:rFonts w:ascii="Times New Roman;serif" w:hAnsi="Times New Roman;serif"/>
          <w:b w:val="false"/>
          <w:color w:val="000000"/>
          <w:sz w:val="20"/>
        </w:rPr>
        <w:t xml:space="preserve">, </w:t>
      </w:r>
      <w:hyperlink r:id="rId8">
        <w:r>
          <w:rPr>
            <w:rStyle w:val="InternetLink"/>
            <w:rFonts w:ascii="Times New Roman;serif" w:hAnsi="Times New Roman;serif"/>
            <w:b w:val="false"/>
            <w:color w:val="0000FF"/>
            <w:sz w:val="20"/>
            <w:u w:val="single"/>
          </w:rPr>
          <w:t>March 3, 2026</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000FF"/>
            <w:sz w:val="20"/>
            <w:u w:val="single"/>
          </w:rPr>
          <w:t>April 15, 2026</w:t>
        </w:r>
      </w:hyperlink>
      <w:r>
        <w:rPr>
          <w:rFonts w:ascii="Times New Roman;serif" w:hAnsi="Times New Roman;serif"/>
          <w:b w:val="false"/>
          <w:color w:val="000000"/>
          <w:sz w:val="20"/>
        </w:rPr>
        <w:t>, and</w:t>
      </w:r>
      <w:r>
        <w:rPr>
          <w:color w:val="0000FF"/>
        </w:rPr>
        <w:t xml:space="preserve"> </w:t>
      </w:r>
      <w:hyperlink r:id="rId10">
        <w:r>
          <w:rPr>
            <w:rStyle w:val="InternetLink"/>
          </w:rPr>
          <w:t xml:space="preserve">May 27, </w:t>
        </w:r>
      </w:hyperlink>
      <w:hyperlink r:id="rId11">
        <w:r>
          <w:rPr>
            <w:rStyle w:val="InternetLink"/>
          </w:rPr>
          <w:t>2026</w:t>
        </w:r>
      </w:hyperlink>
      <w:r>
        <w:rPr>
          <w:rFonts w:ascii="Times New Roman;serif" w:hAnsi="Times New Roman;serif"/>
          <w:b w:val="false"/>
          <w:color w:val="000000"/>
          <w:sz w:val="20"/>
        </w:rPr>
        <w:t>; and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(e)    the description of the Common Shares contained in the Registrant’s </w:t>
      </w:r>
      <w:hyperlink r:id="rId12">
        <w:r>
          <w:rPr>
            <w:rStyle w:val="InternetLink"/>
            <w:rFonts w:ascii="Times New Roman;serif" w:hAnsi="Times New Roman;serif"/>
            <w:b w:val="false"/>
            <w:color w:val="0000FF"/>
            <w:sz w:val="20"/>
            <w:u w:val="single"/>
          </w:rPr>
          <w:t>Registration Statement on Form 8-A</w:t>
        </w:r>
      </w:hyperlink>
      <w:r>
        <w:rPr>
          <w:color w:val="000000"/>
        </w:rPr>
        <w:t xml:space="preserve"> </w:t>
      </w:r>
      <w:r>
        <w:rPr>
          <w:rFonts w:ascii="Times New Roman;serif" w:hAnsi="Times New Roman;serif"/>
          <w:b w:val="false"/>
          <w:color w:val="000000"/>
          <w:sz w:val="20"/>
        </w:rPr>
        <w:t xml:space="preserve">(File No. 001-34949) filed with the Commission on November 4, 2010, as updated by </w:t>
      </w:r>
      <w:hyperlink r:id="rId13">
        <w:r>
          <w:rPr>
            <w:rStyle w:val="InternetLink"/>
            <w:rFonts w:ascii="Times New Roman;serif" w:hAnsi="Times New Roman;serif"/>
            <w:b w:val="false"/>
            <w:color w:val="0000FF"/>
            <w:sz w:val="20"/>
            <w:u w:val="single"/>
          </w:rPr>
          <w:t>Exhibit 4.1</w:t>
        </w:r>
      </w:hyperlink>
      <w:r>
        <w:rPr>
          <w:color w:val="000000"/>
        </w:rPr>
        <w:t xml:space="preserve"> </w:t>
      </w:r>
      <w:r>
        <w:rPr>
          <w:rFonts w:ascii="Times New Roman;serif" w:hAnsi="Times New Roman;serif"/>
          <w:b w:val="false"/>
          <w:color w:val="000000"/>
          <w:sz w:val="20"/>
        </w:rPr>
        <w:t>to the Registrant’s Annual Report on Form 10-K for the fiscal year ended December 31, 2025, including any amendments or reports filed for the purpose of updating such description.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reports and other documents filed by the Registrant after the date hereof pursuant to Sections 13(a), 13(c), 14 and 15(d) of the Securities Exchange Act of 1934, as amended (the “Exchange Act”), but prior to the filing of a post-effective amendment which indicates that all securities offered hereby have been sold or which deregisters all securities then remaining unsold, shall be deemed to be incorporated by reference herein and to be part hereof from the date of filing of such reports and documents, except for the documents and reports, or portions thereof, that are “furnished” rather than filed with the Commission.</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supersedes such statement. Any such statement so modified or superseded shall not be deemed, except as so modified or superseded, to constitute a part of this Registration Statement.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72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5.    Interests of Named Experts and Counsel.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72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Registrant is subject to the provisions of Part 5, Division 5 of the British Columbia Business Corporations Act (the “Act”).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Section 160 of the Act, the Registrant may, subject to Section 163 of the Act, do one or both of the following:</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(1)indemnify an individual who: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is or was a director or officer of the Registrant;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is or was a director or officer of another corporation (i) at a time when such corporation is or was an affiliate of the Registrant; or (ii) at the Registrant’s request,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at the Registrant’s request, is or was, or holds or held a position equivalent to that of, a director or officer of a partnership, trust, joint venture or other unincorporated entity,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includes, subject to certain limited exceptions, the heirs and personal or other legal representatives of that individual (collectively, an “eligible party”), against all eligible penalties to which the eligible party is or may be liable;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after final disposition of an eligible proceeding, pay the expenses actually and reasonably incurred by an eligible party in respect of that proceeding, where: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eligible penalty” means a judgment, penalty or fine awarded or imposed in, or an amount paid in settlement of, an eligible proceeding.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eligible proceeding” means a proceeding in which an eligible party or any of the heirs and personal or other legal representatives of the eligible party, by reason of the eligible party being or having been a director or officer of, or holding or having held a position equivalent to that of a director or officer of, the Registrant or an associated corporation (a) is or may be joined as a party, or (b) is or may be liable for or in respect of a judgment, penalty or fine in, or expenses related to, the proceeding.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proceeding” includes any legal proceeding or investigative action, whether current, threatened, pending or completed.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Section 161 of the Act, and subject to Section 163 of the Act, the Registrant must, after the final disposition of an eligible proceeding, pay the expenses actually and reasonably incurred by an eligible party in respect of that proceeding if the eligible party (a) has not been reimbursed for those expenses, and (b) is wholly successful, on the merits or otherwise, in the outcome of the proceeding or is substantially successful on the merits in the outcome of the proceeding.</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Section 162 of the Act, and subject to Section 163 of the Act, the Registrant may pay, as they are incurred in advance of the final disposition of an eligible proceeding, the expenses actually and reasonably incurred by an eligible party in respect of the proceeding, provided that the Registrant must not make such payments unless the Registrant first receives from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eligible party a written undertaking that, if it is ultimately determined that the payment of expenses is prohibited under Section 163 of the Act, the eligible party will repay the amounts advanced.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Section 163 of the Act, the Registrant must not indemnify an eligible party against eligible penalties to which the eligible party is or may be liable or pay the expenses of an eligible party in respect of that proceeding under Sections 160, 161 or 162 of the Act, as the case may be, if any of the following circumstances apply:</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indemnity or payment is made under an earlier agreement to indemnify or pay expenses and, at the time that the agreement to indemnify or pay expenses was made, the Registrant was prohibited from giving the indemnity or paying the expenses by the Registrant’s Notice of Articles and Articles, as amended (the “Articles”);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indemnity or payment is made otherwise than under an earlier agreement to indemnify or pay expenses and, at the time that the indemnity or payment is made, the Registrant is prohibited from giving the indemnity or paying the expenses by the Articles;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in relation to the subject matter of the eligible proceeding, the eligible party did not act honestly and in good faith with a view to the best interests of the Registrant or the associated corporation, as the case may be;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the case of an eligible proceeding other than a civil proceeding, if the eligible party did not have reasonable grounds for believing that the eligible party’s conduct in respect of which the proceeding was brought was lawful.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 eligible proceeding is brought against an eligible party by or on behalf of the Registrant or by or on behalf of an associated corporation, the Registrant must not either indemnify the eligible party against eligible penalties to which the eligible party is or may be liable, or pay the expenses of the eligible party under Sections 160, 161 or 162 of the Act, as the case may be, in respect of the proceeding.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Section 164 of the Act, and despite any other provision of Part 5, Division 5 of the Act and whether or not payment of expenses or indemnification has been sought, authorized or declined under Part 5, Division 5 of the Act, on application of the Registrant or an eligible party, the Supreme Court of British Columbia may do one or more of the following:</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order the Registrant to indemnify an eligible party against any liability incurred by the eligible party in respect of an eligible proceeding;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order the Registrant to pay some or all of the expenses incurred by an eligible party in respect of an eligible proceeding;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order the enforcement of, or payment under, an agreement of indemnification entered into by the Registrant;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order the Registrant to pay some or all of the expenses actually and reasonably incurred by any person in obtaining an order under Section 164 of the Act;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make any other order the court considers appropriate.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165 of the Act provides that the Registrant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the Registrant or an associated corporation.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Articles, and subject to the Act, the Registrant must indemnify an eligible party and his or her heirs and legal personal representatives against all eligible penalties to which such person is or may be liable, and the Registrant must, after the final disposition of an eligible proceeding, pay the expenses actually and reasonably incurred by such person in respect of that proceeding. Each eligible party is deemed to have contracted with the Registrant on the terms of the indemnity contained in the Articles.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Articles, and subject to the Act, the Registrant may agree to indemnify and may indemnify any person (including an eligible party) against eligible penalties and pay expenses incurred in connection with the performance of services by that person for the Registrant.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Articles, and subject to the Act, the Registrant may advance expenses to an eligible party.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Articles, the failure of an eligible party to comply with the Act or the Articles does not, of itself, invalidate any indemnity to which he or she is entitled under the Articles.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Articles, the Registrant may purchase and maintain insurance for the benefit of an eligible person (or his or her heirs or legal personal representatives) against any liability incurred by him or her as a director, officer or person who holds or held such equivalent position.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Registrant has entered into indemnity agreements with its directors and executive officers. In general, these agreements provide that the Registrant will indemnify the director or executive officer for claims arising in his or her capacity as a director or officer of the Registrant or in connection with their service at the Registrant’s request for another corporation or entity. The indemnity agreements also provide for procedures that will apply in the event that a director or executive officer makes a claim for indemnification.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Act and is therefore unenforceable.</w:t>
      </w:r>
    </w:p>
    <w:p>
      <w:pPr>
        <w:pStyle w:val="TextBody"/>
        <w:bidi w:val="0"/>
        <w:spacing w:before="0" w:after="0"/>
        <w:ind w:left="0" w:right="0" w:firstLine="72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8"/>
        <w:gridCol w:w="2648"/>
        <w:gridCol w:w="377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283"/>
              <w:jc w:val="center"/>
              <w:rPr/>
            </w:pPr>
            <w:r>
              <w:rPr>
                <w:rFonts w:ascii="Times New Roman;serif" w:hAnsi="Times New Roman;serif"/>
                <w:b/>
                <w:sz w:val="20"/>
              </w:rPr>
              <w:br/>
            </w: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Times New Roman;serif" w:hAnsi="Times New Roman;serif"/>
                  <w:b w:val="false"/>
                  <w:color w:val="0000FF"/>
                  <w:sz w:val="20"/>
                  <w:u w:val="single"/>
                </w:rPr>
                <w:t>Notice of Articles and Articles of the Registrant, as amended (incorporated herein by reference to Exhibit 3.1 to the Registrant’s Annual Report on Form 10-K for the year ended December 31, 2017, filed with the Commission on March 16, 2018).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Times New Roman;serif" w:hAnsi="Times New Roman;serif"/>
                  <w:b w:val="false"/>
                  <w:color w:val="0000FF"/>
                  <w:sz w:val="20"/>
                  <w:u w:val="single"/>
                </w:rPr>
                <w:t>Amendment to Articles of the Registrant (incorporated herein by reference to Exhibit 3.1 to the Registrant’s Quarterly Report on Form 10-Q for the quarter ended September 30, 2018, filed with the Commission on November 7, 2018).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Times New Roman;serif" w:hAnsi="Times New Roman;serif"/>
                  <w:b w:val="false"/>
                  <w:color w:val="0000FF"/>
                  <w:sz w:val="20"/>
                  <w:u w:val="single"/>
                </w:rPr>
                <w:t>Arbutus Biopharma Corporation 2026 Omnibus Share and Incentive Plan (incorporated herein by reference to Exhibit 10.1 to the Registrant’s Current Report on Form 8-K, filed with the Commission on May 27, 2026).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026s-8farrisconsentex51.htm">
              <w:r>
                <w:rPr>
                  <w:rStyle w:val="InternetLink"/>
                  <w:rFonts w:ascii="Times New Roman;serif" w:hAnsi="Times New Roman;serif"/>
                  <w:b w:val="false"/>
                  <w:color w:val="0000FF"/>
                  <w:sz w:val="20"/>
                  <w:u w:val="single"/>
                </w:rPr>
                <w:t>Opinion of Farris LLP.</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026s-8eyconsentex231.htm">
              <w:r>
                <w:rPr>
                  <w:rStyle w:val="InternetLink"/>
                  <w:rFonts w:ascii="Times New Roman;serif" w:hAnsi="Times New Roman;serif"/>
                  <w:b w:val="false"/>
                  <w:color w:val="0000FF"/>
                  <w:sz w:val="20"/>
                  <w:u w:val="single"/>
                </w:rPr>
                <w:t>Consent of Ernst and Young, LLP, Independent Registered Public Accounting Firm.</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026s-8farrisconsentex51.htm">
              <w:r>
                <w:rPr>
                  <w:rStyle w:val="InternetLink"/>
                  <w:rFonts w:ascii="Times New Roman;serif" w:hAnsi="Times New Roman;serif"/>
                  <w:b w:val="false"/>
                  <w:color w:val="0000FF"/>
                  <w:sz w:val="20"/>
                  <w:u w:val="single"/>
                </w:rPr>
                <w:t>Consent of Farris LLP (included in Exhibit 5.1).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30952eb2ca54ceba1145bb09dcc0edf_98">
              <w:r>
                <w:rPr>
                  <w:rStyle w:val="InternetLink"/>
                  <w:rFonts w:ascii="Times New Roman;serif" w:hAnsi="Times New Roman;serif"/>
                  <w:b w:val="false"/>
                  <w:color w:val="0000FF"/>
                  <w:sz w:val="20"/>
                  <w:u w:val="single"/>
                </w:rPr>
                <w:t>Power of Attorney (included in signature page to this Registration Statement).</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before="0" w:after="0"/>
        <w:jc w:val="center"/>
        <w:rPr/>
      </w:pPr>
      <w:r>
        <w:rPr/>
      </w:r>
    </w:p>
    <w:tbl>
      <w:tblPr>
        <w:tblW w:w="465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166"/>
        <w:gridCol w:w="1166"/>
        <w:gridCol w:w="16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98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file, during any period in which offers or sales are being made, a post-effective amendment to this Registration Statement:</w:t>
            </w:r>
          </w:p>
        </w:tc>
      </w:tr>
    </w:tbl>
    <w:tbl>
      <w:tblPr>
        <w:tblW w:w="69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45"/>
        <w:gridCol w:w="1845"/>
        <w:gridCol w:w="2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630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include any prospectus required by Section 10(a)(3) of the Securities Act;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25"/>
        <w:gridCol w:w="125"/>
        <w:gridCol w:w="126"/>
        <w:gridCol w:w="2773"/>
        <w:gridCol w:w="2773"/>
        <w:gridCol w:w="39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948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rPr>
        <w:t>provided, however</w:t>
      </w:r>
      <w:r>
        <w:rPr>
          <w:rFonts w:ascii="Times New Roman;serif" w:hAnsi="Times New Roman;serif"/>
          <w:b w:val="false"/>
          <w:color w:val="000000"/>
          <w:sz w:val="20"/>
        </w:rPr>
        <w:t>, that paragraphs (a)(1)(i) and (a)(1)(ii) of this section do not apply if the information required to be included in a post-effective amendment by those paragraphs is contained in reports filed with or furnished to the Commission by the Registrant pursuant to Section 13 or 15(d) of the Exchange Act that are incorporated by reference in this Registration Statement.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remove from registration by means of a post-effective amendment any of the securities being registered which remain unsold at the termination of the offering.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0"/>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Township of Warminster, Commonwealth of Pennsylvania, on June 5, 2026.</w:t>
      </w:r>
    </w:p>
    <w:tbl>
      <w:tblPr>
        <w:tblW w:w="5975" w:type="dxa"/>
        <w:jc w:val="left"/>
        <w:tblInd w:w="0" w:type="dxa"/>
        <w:tblLayout w:type="fixed"/>
        <w:tblCellMar>
          <w:top w:w="28" w:type="dxa"/>
          <w:left w:w="28" w:type="dxa"/>
          <w:bottom w:w="28" w:type="dxa"/>
          <w:right w:w="28" w:type="dxa"/>
        </w:tblCellMar>
      </w:tblPr>
      <w:tblGrid>
        <w:gridCol w:w="124"/>
        <w:gridCol w:w="109"/>
        <w:gridCol w:w="109"/>
        <w:gridCol w:w="404"/>
        <w:gridCol w:w="404"/>
        <w:gridCol w:w="404"/>
        <w:gridCol w:w="404"/>
        <w:gridCol w:w="404"/>
        <w:gridCol w:w="404"/>
        <w:gridCol w:w="929"/>
        <w:gridCol w:w="929"/>
        <w:gridCol w:w="13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ARBUTUS BIOPHARMA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Lindsay Androski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Lindsay Androski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30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the undersigned officers and directors of Arbutus Biopharma Corporation, hereby severally constitute and appoint Lindsay Androski and Tuan Nguyen,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Arbutus Biopharma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has been signed by the following persons in the capacities and on the dates indicated.</w:t>
      </w:r>
    </w:p>
    <w:tbl>
      <w:tblPr>
        <w:tblW w:w="9143" w:type="dxa"/>
        <w:jc w:val="left"/>
        <w:tblInd w:w="0" w:type="dxa"/>
        <w:tblLayout w:type="fixed"/>
        <w:tblCellMar>
          <w:top w:w="28" w:type="dxa"/>
          <w:left w:w="28" w:type="dxa"/>
          <w:bottom w:w="28" w:type="dxa"/>
          <w:right w:w="28" w:type="dxa"/>
        </w:tblCellMar>
      </w:tblPr>
      <w:tblGrid>
        <w:gridCol w:w="797"/>
        <w:gridCol w:w="701"/>
        <w:gridCol w:w="706"/>
        <w:gridCol w:w="109"/>
        <w:gridCol w:w="109"/>
        <w:gridCol w:w="109"/>
        <w:gridCol w:w="1693"/>
        <w:gridCol w:w="1693"/>
        <w:gridCol w:w="1714"/>
        <w:gridCol w:w="109"/>
        <w:gridCol w:w="109"/>
        <w:gridCol w:w="109"/>
        <w:gridCol w:w="346"/>
        <w:gridCol w:w="346"/>
        <w:gridCol w:w="493"/>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Lindsay Androski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5,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Lindsay Androski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Tuan Nguyen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5,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Tuan Nguyen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Alan Beardsley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5,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Alan Beardsley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Bishop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5,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Bishop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Gline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5,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Gline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Dr. Roger Sawhney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5,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Dr. Roger Sawhney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 OF AUTHORIZED REPRESENTATIVE IN THE UNITED STATES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the undersigned, the duly authorized representative in the United States of the Registrant, has signed this Registration Statement on June 5, 2026. </w:t>
      </w:r>
    </w:p>
    <w:p>
      <w:pPr>
        <w:pStyle w:val="TextBody"/>
        <w:bidi w:val="0"/>
        <w:spacing w:before="0" w:after="0"/>
        <w:ind w:left="0" w:right="0" w:firstLine="720"/>
        <w:jc w:val="both"/>
        <w:rPr/>
      </w:pPr>
      <w:r>
        <w:rPr/>
      </w:r>
    </w:p>
    <w:tbl>
      <w:tblPr>
        <w:tblW w:w="4283"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940"/>
        <w:gridCol w:w="940"/>
        <w:gridCol w:w="13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Lindsay Androski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Lindsay Androski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Arbutus Biopharma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39" w:type="dxa"/>
        <w:jc w:val="left"/>
        <w:tblInd w:w="0" w:type="dxa"/>
        <w:tblLayout w:type="fixed"/>
        <w:tblCellMar>
          <w:top w:w="28" w:type="dxa"/>
          <w:left w:w="28" w:type="dxa"/>
          <w:bottom w:w="28" w:type="dxa"/>
          <w:right w:w="28" w:type="dxa"/>
        </w:tblCellMar>
      </w:tblPr>
      <w:tblGrid>
        <w:gridCol w:w="241"/>
        <w:gridCol w:w="946"/>
        <w:gridCol w:w="1246"/>
        <w:gridCol w:w="1276"/>
        <w:gridCol w:w="1186"/>
        <w:gridCol w:w="1156"/>
        <w:gridCol w:w="166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46" w:type="dxa"/>
            <w:tcBorders/>
            <w:shd w:fill="E7E7E2" w:val="clear"/>
            <w:vAlign w:val="center"/>
          </w:tcPr>
          <w:p>
            <w:pPr>
              <w:pStyle w:val="TableContents"/>
              <w:bidi w:val="0"/>
              <w:spacing w:before="0" w:after="283"/>
              <w:jc w:val="left"/>
              <w:rPr/>
            </w:pPr>
            <w:r>
              <w:rPr/>
              <w:t xml:space="preserve">Common Shares, without par value, reserved for issuance under the Arbutus Biopharma Corporation 2026 Omnibus Share and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16,300,000 </w:t>
            </w:r>
          </w:p>
        </w:tc>
        <w:tc>
          <w:tcPr>
            <w:tcW w:w="1156" w:type="dxa"/>
            <w:tcBorders/>
            <w:shd w:fill="E7E7E2" w:val="clear"/>
            <w:vAlign w:val="center"/>
          </w:tcPr>
          <w:p>
            <w:pPr>
              <w:pStyle w:val="TableContents"/>
              <w:bidi w:val="0"/>
              <w:spacing w:before="0" w:after="283"/>
              <w:jc w:val="right"/>
              <w:rPr/>
            </w:pPr>
            <w:r>
              <w:rPr/>
              <w:t xml:space="preserve">$ 4.29 </w:t>
            </w:r>
          </w:p>
        </w:tc>
        <w:tc>
          <w:tcPr>
            <w:tcW w:w="1666" w:type="dxa"/>
            <w:tcBorders/>
            <w:shd w:fill="E7E7E2" w:val="clear"/>
            <w:vAlign w:val="center"/>
          </w:tcPr>
          <w:p>
            <w:pPr>
              <w:pStyle w:val="TableContents"/>
              <w:bidi w:val="0"/>
              <w:spacing w:before="0" w:after="283"/>
              <w:jc w:val="right"/>
              <w:rPr/>
            </w:pPr>
            <w:r>
              <w:rPr/>
              <w:t xml:space="preserve">$ 69,927,000.00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$ 9,656.92 </w:t>
            </w:r>
          </w:p>
        </w:tc>
      </w:tr>
      <w:tr>
        <w:trPr/>
        <w:tc>
          <w:tcPr>
            <w:tcW w:w="4895"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4" w:name="MaxAggtOfferingPrice"/>
            <w:bookmarkEnd w:id="4"/>
            <w:r>
              <w:rPr/>
              <w:t xml:space="preserve">$ 69,927,000.00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$ 9,656.92 </w:t>
            </w:r>
          </w:p>
        </w:tc>
      </w:tr>
      <w:tr>
        <w:trPr/>
        <w:tc>
          <w:tcPr>
            <w:tcW w:w="4895"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895"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7" w:name="NetFeeAmt"/>
            <w:bookmarkEnd w:id="7"/>
            <w:r>
              <w:rPr/>
              <w:t xml:space="preserve">$ 9,656.92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6"/>
        <w:gridCol w:w="8709"/>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In accordance with Rule 416 under the Securities Act of 1933, as amended (the "Securities Act"), this registration statement shall be deemed to cover any additional securities that may from time to time be offered or issued to prevent dilution resulting from share splits, share dividends or similar transactions. (b) The Amount Registered represents 16,300,000 common shares, without par value (the "Common Shares"), of Arbutus Biopharma Corporation (the "Registrant") available for issuance under the Arbutus Biopharma Corporation 2026 Omnibus Share and Incentive Plan, which Plan was approved by the Registrant's shareholders at the Registrant's 2026 Annual General and Special Meeting of Shareholders on May 26, 2026. (c) The proposed Maximum Aggregate Offering Price per unit is estimated in accordance with Rule 457(c) and (h) of the Securities Act solely for purposes of calculating the registration fee based on the average of the high and low sales price per Common Share as reported on the Nasdaq Global Select Market on June 3, 2026, which date is a date within five business days of the filing of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5.1</w:t>
      </w:r>
    </w:p>
    <w:p>
      <w:pPr>
        <w:pStyle w:val="TextBody"/>
        <w:bidi w:val="0"/>
        <w:spacing w:before="0" w:after="0"/>
        <w:jc w:val="right"/>
        <w:rPr/>
      </w:pPr>
      <w:r>
        <w:rPr/>
      </w:r>
    </w:p>
    <w:p>
      <w:pPr>
        <w:pStyle w:val="TextBody"/>
        <w:bidi w:val="0"/>
        <w:spacing w:before="0" w:after="0"/>
        <w:jc w:val="right"/>
        <w:rPr/>
      </w:pPr>
      <w:r>
        <w:rPr/>
        <w:drawing>
          <wp:inline distT="0" distB="0" distL="0" distR="0">
            <wp:extent cx="1133475" cy="32385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17"/>
                    <a:stretch>
                      <a:fillRect/>
                    </a:stretch>
                  </pic:blipFill>
                  <pic:spPr bwMode="auto">
                    <a:xfrm>
                      <a:off x="0" y="0"/>
                      <a:ext cx="1133475" cy="323850"/>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0"/>
        <w:jc w:val="right"/>
        <w:rPr>
          <w:rFonts w:ascii="Times New Roman;serif" w:hAnsi="Times New Roman;serif"/>
          <w:b w:val="false"/>
          <w:color w:val="000000"/>
          <w:sz w:val="24"/>
        </w:rPr>
      </w:pPr>
      <w:r>
        <w:rPr>
          <w:rFonts w:ascii="Times New Roman;serif" w:hAnsi="Times New Roman;serif"/>
          <w:b w:val="false"/>
          <w:color w:val="000000"/>
          <w:sz w:val="24"/>
        </w:rPr>
        <w:t>June 5,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Board of Directors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Arbutus Biopharma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701 Veterans Circle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Warminster, PA 18974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Dear Sirs/Mesdames: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Re: Arbutus Biopharma Corporation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We have acted as counsel for Arbutus Biopharma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xml:space="preserve">), a company existing under the </w:t>
      </w:r>
      <w:r>
        <w:rPr>
          <w:rFonts w:ascii="Times New Roman;serif" w:hAnsi="Times New Roman;serif"/>
          <w:b w:val="false"/>
          <w:i/>
          <w:color w:val="000000"/>
          <w:sz w:val="24"/>
        </w:rPr>
        <w:t>Business Corporations Act</w:t>
      </w:r>
      <w:r>
        <w:rPr>
          <w:color w:val="000000"/>
        </w:rPr>
        <w:t xml:space="preserve"> </w:t>
      </w:r>
      <w:r>
        <w:rPr>
          <w:rFonts w:ascii="Times New Roman;serif" w:hAnsi="Times New Roman;serif"/>
          <w:b w:val="false"/>
          <w:color w:val="000000"/>
          <w:sz w:val="24"/>
        </w:rPr>
        <w:t>(British Columbia), and have been asked to give this opinion in connection with the filing with the Securities and Exchange Commission of a registration statement on Form S-8 (the “</w:t>
      </w:r>
      <w:r>
        <w:rPr>
          <w:rFonts w:ascii="Times New Roman;serif" w:hAnsi="Times New Roman;serif"/>
          <w:b/>
          <w:color w:val="000000"/>
          <w:sz w:val="24"/>
        </w:rPr>
        <w:t>Registration Statement</w:t>
      </w:r>
      <w:r>
        <w:rPr>
          <w:color w:val="000000"/>
        </w:rPr>
        <w:t>”</w:t>
      </w:r>
      <w:r>
        <w:rPr>
          <w:rFonts w:ascii="Times New Roman;serif" w:hAnsi="Times New Roman;serif"/>
          <w:b w:val="false"/>
          <w:color w:val="000000"/>
          <w:sz w:val="24"/>
        </w:rPr>
        <w:t>) covering 16,300,000 common shares in the capital of the Company, without par value (the “</w:t>
      </w:r>
      <w:r>
        <w:rPr>
          <w:rFonts w:ascii="Times New Roman;serif" w:hAnsi="Times New Roman;serif"/>
          <w:b/>
          <w:color w:val="000000"/>
          <w:sz w:val="24"/>
        </w:rPr>
        <w:t>Shares</w:t>
      </w:r>
      <w:r>
        <w:rPr>
          <w:color w:val="000000"/>
        </w:rPr>
        <w:t>”</w:t>
      </w:r>
      <w:r>
        <w:rPr>
          <w:rFonts w:ascii="Times New Roman;serif" w:hAnsi="Times New Roman;serif"/>
          <w:b w:val="false"/>
          <w:color w:val="000000"/>
          <w:sz w:val="24"/>
        </w:rPr>
        <w:t>), issuable pursuant to the Company’s 2026 Omnibus Share and Incentive Plan, as supplemented and amended (the “</w:t>
      </w:r>
      <w:r>
        <w:rPr>
          <w:rFonts w:ascii="Times New Roman;serif" w:hAnsi="Times New Roman;serif"/>
          <w:b/>
          <w:color w:val="000000"/>
          <w:sz w:val="24"/>
        </w:rPr>
        <w:t>2026 Plan</w:t>
      </w:r>
      <w:r>
        <w:rPr>
          <w:color w:val="000000"/>
        </w:rPr>
        <w:t>”</w:t>
      </w:r>
      <w:r>
        <w:rPr>
          <w:rFonts w:ascii="Times New Roman;serif" w:hAnsi="Times New Roman;serif"/>
          <w:b w:val="false"/>
          <w:color w:val="000000"/>
          <w:sz w:val="24"/>
        </w:rPr>
        <w:t>). This opinion letter is furnished to you at your request to enable you to fulfill the requirements of Item 601(b)(5) of Regulation S-K, 17 C.F.R. § 229.601(b)(5), in connection with the Registration Statement.</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connection with the opinions hereinafter expressed, we have conducted or caused to be conducted such searches as we have considered necessary, advisable or relevant. We have also prepared or examined all such documents, corporate records of the Company, certificates of officers of the Company, resolutions of the board of directors of the Company and the shareholders of the Company, and other materials as we consider advisable or relevant. We have also examined such statutes, corporate and public records and other documents including certificates of public officials, and considered such matters of law, as we have deemed necessary as a basis for the opinions hereinafter expressed.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For the purposes of the opinions set for below, we have assumed, with respect to all documents examined by us, the genuineness of all signatures, the authenticity of all documents submitted to us as originals and the conformity to authentic or original documents of all actual documents submitted to us as certified, conformed, telecopied or photostatic copies.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are qualified to express opinions only with respect to the laws of the Province of British Columbia and the federal laws of Canada applicable therein. We express no opinion on the laws of any jurisdiction other than the Province of British Columbia and the federal laws of Canada applicable therein, all as at the date hereof.</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Based upon and subject to the foregoing, we are of the opinion that the Shares have been duly authorized for issuance and, when issued in accordance with the terms of the 2026 Plan, will be validly issued and outstanding as fully paid and non-assessable common shares of the Company.</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We hereby consent to the use of our name in the Registration Statement relating to the Shares and to the filing, as an exhibit to the Registration Statement, of this opinion.</w:t>
      </w:r>
    </w:p>
    <w:p>
      <w:pPr>
        <w:pStyle w:val="TextBody"/>
        <w:bidi w:val="0"/>
        <w:spacing w:before="0" w:after="0"/>
        <w:ind w:left="0" w:right="0" w:firstLine="720"/>
        <w:jc w:val="right"/>
        <w:rPr/>
      </w:pPr>
      <w:r>
        <w:rPr/>
        <w:drawing>
          <wp:inline distT="0" distB="0" distL="0" distR="0">
            <wp:extent cx="857250" cy="19050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18"/>
                    <a:stretch>
                      <a:fillRect/>
                    </a:stretch>
                  </pic:blipFill>
                  <pic:spPr bwMode="auto">
                    <a:xfrm>
                      <a:off x="0" y="0"/>
                      <a:ext cx="857250" cy="190500"/>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opinion is given solely in connection with the transactions referred to herein, and this opinion is limited to the matters expressly set forth herein, and no opinion has been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any law that may hereafter occur.</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Yours truly, </w:t>
      </w:r>
    </w:p>
    <w:p>
      <w:pPr>
        <w:pStyle w:val="TextBody"/>
        <w:bidi w:val="0"/>
        <w:spacing w:before="0" w:after="0"/>
        <w:ind w:left="0" w:right="0" w:firstLine="504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/s/ FARRIS LLP</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ind w:left="0" w:right="0" w:firstLine="14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58800"/>
                <wp:effectExtent l="0" t="0" r="0" b="0"/>
                <wp:wrapNone/>
                <wp:docPr id="14" name="Frame12"/>
                <a:graphic xmlns:a="http://schemas.openxmlformats.org/drawingml/2006/main">
                  <a:graphicData uri="http://schemas.microsoft.com/office/word/2010/wordprocessingShape">
                    <wps:wsp>
                      <wps:cNvSpPr txBox="1"/>
                      <wps:spPr>
                        <a:xfrm>
                          <a:off x="0" y="0"/>
                          <a:ext cx="6480175" cy="558800"/>
                        </a:xfrm>
                        <a:prstGeom prst="rect"/>
                        <a:solidFill>
                          <a:srgbClr val="FFFFFF"/>
                        </a:solidFill>
                      </wps:spPr>
                      <wps:txbx>
                        <w:txbxContent>
                          <w:p>
                            <w:pPr>
                              <w:pStyle w:val="TextBody"/>
                              <w:bidi w:val="0"/>
                              <w:spacing w:before="0" w:after="0"/>
                              <w:jc w:val="right"/>
                              <w:rPr/>
                            </w:pPr>
                            <w:r>
                              <w:rPr/>
                              <w:drawing>
                                <wp:inline distT="0" distB="0" distL="0" distR="0">
                                  <wp:extent cx="3276600" cy="4953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19"/>
                                          <a:stretch>
                                            <a:fillRect/>
                                          </a:stretch>
                                        </pic:blipFill>
                                        <pic:spPr bwMode="auto">
                                          <a:xfrm>
                                            <a:off x="0" y="0"/>
                                            <a:ext cx="3276600" cy="4953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right"/>
                        <w:rPr/>
                      </w:pPr>
                      <w:r>
                        <w:rPr/>
                        <w:drawing>
                          <wp:inline distT="0" distB="0" distL="0" distR="0">
                            <wp:extent cx="3276600" cy="4953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20"/>
                                    <a:stretch>
                                      <a:fillRect/>
                                    </a:stretch>
                                  </pic:blipFill>
                                  <pic:spPr bwMode="auto">
                                    <a:xfrm>
                                      <a:off x="0" y="0"/>
                                      <a:ext cx="3276600" cy="495300"/>
                                    </a:xfrm>
                                    <a:prstGeom prst="rect">
                                      <a:avLst/>
                                    </a:prstGeom>
                                  </pic:spPr>
                                </pic:pic>
                              </a:graphicData>
                            </a:graphic>
                          </wp:inline>
                        </w:drawing>
                      </w:r>
                    </w:p>
                  </w:txbxContent>
                </v:textbox>
                <w10:wrap type="none"/>
              </v:rect>
            </w:pict>
          </mc:Fallback>
        </mc:AlternateConten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Registration Statement (Form S-8) pertaining to the 2026 Omnibus Share and Incentive Plan of Arbutus Biopharma Corporation of our report dated March 23, 2026 with respect to the consolidated financial statements of Arbutus Biopharma Corporation included in its Annual Report (Form 10-K) for the year ended December 31, 2025, filed with the Securities and Exchange Commission.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/s/ Ernst &amp; Young LLP</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Philadelphia, Pennsylvania</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June 5,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7"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47028/000144702826000017/abus-20251231.htm" TargetMode="External"/><Relationship Id="rId3" Type="http://schemas.openxmlformats.org/officeDocument/2006/relationships/hyperlink" Target="https://www.sec.gov/ix?doc=/Archives/edgar/data/1447028/000144702826000021/abus-20260331.htm" TargetMode="External"/><Relationship Id="rId4" Type="http://schemas.openxmlformats.org/officeDocument/2006/relationships/hyperlink" Target="https://www.sec.gov/ix?doc=/Archives/edgar/data/1447028/000114036126014623/ny20065142x1_def14a.htm" TargetMode="External"/><Relationship Id="rId5" Type="http://schemas.openxmlformats.org/officeDocument/2006/relationships/hyperlink" Target="https://www.sec.gov/ix?doc=/Archives/edgar/data/1447028/000117184326000303/f8k_011626.htm" TargetMode="External"/><Relationship Id="rId6" Type="http://schemas.openxmlformats.org/officeDocument/2006/relationships/hyperlink" Target="https://www.sec.gov/ix?doc=/Archives/edgar/data/1447028/000117184326000676/f8k_020626.htm" TargetMode="External"/><Relationship Id="rId7" Type="http://schemas.openxmlformats.org/officeDocument/2006/relationships/hyperlink" Target="https://www.sec.gov/ix?doc=/Archives/edgar/data/1447028/000117184326000979/f8k_021926.htm" TargetMode="External"/><Relationship Id="rId8" Type="http://schemas.openxmlformats.org/officeDocument/2006/relationships/hyperlink" Target="https://www.sec.gov/ix?doc=/Archives/edgar/data/1447028/000117184326001299/f8k_030326.htm" TargetMode="External"/><Relationship Id="rId9" Type="http://schemas.openxmlformats.org/officeDocument/2006/relationships/hyperlink" Target="https://www.sec.gov/ix?doc=/Archives/edgar/data/1447028/000117184326002458/f8k_041426.htm" TargetMode="External"/><Relationship Id="rId10" Type="http://schemas.openxmlformats.org/officeDocument/2006/relationships/hyperlink" Target="https://www.sec.gov/ix?doc=/Archives/edgar/data/1447028/000144702826000024/abus-20260526.htm" TargetMode="External"/><Relationship Id="rId11" Type="http://schemas.openxmlformats.org/officeDocument/2006/relationships/hyperlink" Target="https://www.sec.gov/ix?doc=/Archives/edgar/data/1447028/000144702826000024/abus-20260526.htm" TargetMode="External"/><Relationship Id="rId12" Type="http://schemas.openxmlformats.org/officeDocument/2006/relationships/hyperlink" Target="https://www.sec.gov/Archives/edgar/data/1447028/000119312510247803/d8a12b.htm" TargetMode="External"/><Relationship Id="rId13" Type="http://schemas.openxmlformats.org/officeDocument/2006/relationships/hyperlink" Target="https://www.sec.gov/Archives/edgar/data/1447028/000144702826000017/exhibit41descriptionofsecu.htm" TargetMode="External"/><Relationship Id="rId14" Type="http://schemas.openxmlformats.org/officeDocument/2006/relationships/hyperlink" Target="https://www.sec.gov/Archives/edgar/data/1447028/000162828018003276/exhibit31_articlesandartic.htm" TargetMode="External"/><Relationship Id="rId15" Type="http://schemas.openxmlformats.org/officeDocument/2006/relationships/hyperlink" Target="https://www.sec.gov/Archives/edgar/data/1447028/000162828018013909/exhibit31amendmenttoarticl.htm" TargetMode="External"/><Relationship Id="rId16" Type="http://schemas.openxmlformats.org/officeDocument/2006/relationships/hyperlink" Target="https://www.sec.gov/Archives/edgar/data/1447028/000144702826000024/arbutus2026omnibussharea.htm" TargetMode="External"/><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4480</Words>
  <Characters>23726</Characters>
  <CharactersWithSpaces>28015</CharactersWithSpaces>
  <Paragraphs>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